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Political Consultancy &amp; Public Affairs Services</w:t>
      </w:r>
    </w:p>
    <w:p>
      <w:pPr>
        <w:pStyle w:val="BodyText"/>
      </w:pPr>
      <w:r>
        <w:t xml:space="preserve">Serving the Politician Community in Israel Tel Aviv</w:t>
      </w:r>
    </w:p>
    <w:bookmarkEnd w:id="20"/>
    <w:p>
      <w:pPr>
        <w:pStyle w:val="BodyText"/>
      </w:pPr>
      <w:r>
        <w:rPr>
          <w:bCs/>
          <w:b/>
        </w:rPr>
        <w:t xml:space="preserve">Quotation No.:</w:t>
      </w:r>
      <w:r>
        <w:t xml:space="preserve"> </w:t>
      </w:r>
      <w:r>
        <w:t xml:space="preserve">QTE-TLV-2025-04782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Israeli New Shekel (ILS)</w:t>
      </w:r>
    </w:p>
    <w:bookmarkStart w:id="21" w:name="prepared-by-service-provider"/>
    <w:p>
      <w:pPr>
        <w:pStyle w:val="Heading3"/>
      </w:pPr>
      <w:r>
        <w:t xml:space="preserve">Prepared By (Service Provider)</w:t>
      </w:r>
    </w:p>
    <w:p>
      <w:pPr>
        <w:pStyle w:val="FirstParagraph"/>
      </w:pPr>
      <w:r>
        <w:rPr>
          <w:bCs/>
          <w:b/>
        </w:rPr>
        <w:t xml:space="preserve">Meridian Political Strategy Group Ltd.</w:t>
      </w:r>
    </w:p>
    <w:p>
      <w:pPr>
        <w:pStyle w:val="BodyText"/>
      </w:pPr>
      <w:r>
        <w:t xml:space="preserve">142 Rothschild Avenue, 5th Floor</w:t>
      </w:r>
    </w:p>
    <w:p>
      <w:pPr>
        <w:pStyle w:val="BodyText"/>
      </w:pPr>
      <w:r>
        <w:t xml:space="preserve">Tel Aviv-Yafo, Israel 6388801</w:t>
      </w:r>
    </w:p>
    <w:p>
      <w:pPr>
        <w:pStyle w:val="BodyText"/>
      </w:pPr>
      <w:r>
        <w:t xml:space="preserve">Tel: +972-3-621-4478</w:t>
      </w:r>
    </w:p>
    <w:p>
      <w:pPr>
        <w:pStyle w:val="BodyText"/>
      </w:pPr>
      <w:r>
        <w:t xml:space="preserve">Email: estimates@meridianpolitics.co.il</w:t>
      </w:r>
    </w:p>
    <w:p>
      <w:pPr>
        <w:pStyle w:val="BodyText"/>
      </w:pPr>
      <w:r>
        <w:t xml:space="preserve">VAT No.: 51-802-334-71</w:t>
      </w:r>
    </w:p>
    <w:bookmarkEnd w:id="21"/>
    <w:bookmarkStart w:id="22" w:name="prepared-for-client-politician"/>
    <w:p>
      <w:pPr>
        <w:pStyle w:val="Heading3"/>
      </w:pPr>
      <w:r>
        <w:t xml:space="preserve">Prepared For (Client / Politician)</w:t>
      </w:r>
    </w:p>
    <w:p>
      <w:pPr>
        <w:pStyle w:val="FirstParagraph"/>
      </w:pPr>
      <w:r>
        <w:rPr>
          <w:bCs/>
          <w:b/>
        </w:rPr>
        <w:t xml:space="preserve">Hon. Dr. Miriam Ashkenazi</w:t>
      </w:r>
    </w:p>
    <w:p>
      <w:pPr>
        <w:pStyle w:val="BodyText"/>
      </w:pPr>
      <w:r>
        <w:t xml:space="preserve">Member of the Knesset – Tel Aviv District</w:t>
      </w:r>
    </w:p>
    <w:p>
      <w:pPr>
        <w:pStyle w:val="BodyText"/>
      </w:pPr>
      <w:r>
        <w:t xml:space="preserve">Office of the Politician, Knesset Building</w:t>
      </w:r>
    </w:p>
    <w:p>
      <w:pPr>
        <w:pStyle w:val="BodyText"/>
      </w:pPr>
      <w:r>
        <w:t xml:space="preserve">Jerusalem, Israel 9112000</w:t>
      </w:r>
    </w:p>
    <w:p>
      <w:pPr>
        <w:pStyle w:val="BodyText"/>
      </w:pPr>
      <w:r>
        <w:t xml:space="preserve">Campaign HQ: 88 Dizengoff Street, Tel Aviv</w:t>
      </w:r>
    </w:p>
    <w:p>
      <w:pPr>
        <w:pStyle w:val="BodyText"/>
      </w:pPr>
      <w:r>
        <w:t xml:space="preserve">Contact: office@ashkenazi-knesset.gov.il</w:t>
      </w:r>
    </w:p>
    <w:bookmarkEnd w:id="22"/>
    <w:bookmarkStart w:id="23" w:name="X7f07445613524613f8926b0dc0542833500ea80"/>
    <w:p>
      <w:pPr>
        <w:pStyle w:val="Heading2"/>
      </w:pPr>
      <w:r>
        <w:t xml:space="preserve">Scope of Services – Politician Engagement in Israel Tel Aviv</w:t>
      </w:r>
    </w:p>
    <w:p>
      <w:pPr>
        <w:pStyle w:val="FirstParagraph"/>
      </w:pPr>
      <w:r>
        <w:t xml:space="preserve">This Quotation Estimate is issued by Meridian Political Strategy Group Ltd. in response to the formal request submitted by the office of Hon. Dr. Miriam Ashkenazi, a sitting Politician representing the Tel Aviv district in the Knesset. The following itemized services are proposed to support the Politician's legislative agenda, public engagement, and strategic communications across Israel Tel Aviv and the broader metropolitan region. All pricing reflects current market rates applicable to political consultancy operations in Israel Tel Aviv as of the date of this Quotation Estimate.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Strategic Campaign Planning &amp; Policy Advisory for the Politician's 2026 Knesset re-election cycle in Israel Tel Aviv</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Monthly retainer</w:t>
            </w:r>
          </w:p>
        </w:tc>
      </w:tr>
      <w:tr>
        <w:tc>
          <w:tcPr/>
          <w:p>
            <w:pPr>
              <w:pStyle w:val="Compact"/>
              <w:jc w:val="left"/>
            </w:pPr>
            <w:r>
              <w:t xml:space="preserve">2</w:t>
            </w:r>
          </w:p>
        </w:tc>
        <w:tc>
          <w:tcPr/>
          <w:p>
            <w:pPr>
              <w:pStyle w:val="Compact"/>
              <w:jc w:val="left"/>
            </w:pPr>
            <w:r>
              <w:t xml:space="preserve">Public Speaking &amp; Town Hall Event Management – coordination of 8 public appearances by the Politician across Tel Aviv neighborhoods (Jaffa, Florentin, Ramat Gan, Bat Yam)</w:t>
            </w:r>
          </w:p>
        </w:tc>
        <w:tc>
          <w:tcPr/>
          <w:p>
            <w:pPr>
              <w:pStyle w:val="Compact"/>
              <w:jc w:val="left"/>
            </w:pPr>
            <w:r>
              <w:t xml:space="preserve">8 events</w:t>
            </w:r>
          </w:p>
        </w:tc>
        <w:tc>
          <w:tcPr/>
          <w:p>
            <w:pPr>
              <w:pStyle w:val="Compact"/>
              <w:jc w:val="left"/>
            </w:pPr>
            <w:r>
              <w:t xml:space="preserve">18,500</w:t>
            </w:r>
          </w:p>
        </w:tc>
        <w:tc>
          <w:tcPr/>
          <w:p>
            <w:pPr>
              <w:pStyle w:val="Compact"/>
              <w:jc w:val="left"/>
            </w:pPr>
            <w:r>
              <w:t xml:space="preserve">148,000</w:t>
            </w:r>
          </w:p>
        </w:tc>
        <w:tc>
          <w:tcPr/>
          <w:p>
            <w:pPr>
              <w:pStyle w:val="Compact"/>
              <w:jc w:val="left"/>
            </w:pPr>
            <w:r>
              <w:t xml:space="preserve">Incl. staging, AV, security</w:t>
            </w:r>
          </w:p>
        </w:tc>
      </w:tr>
      <w:tr>
        <w:tc>
          <w:tcPr/>
          <w:p>
            <w:pPr>
              <w:pStyle w:val="Compact"/>
              <w:jc w:val="left"/>
            </w:pPr>
            <w:r>
              <w:t xml:space="preserve">3</w:t>
            </w:r>
          </w:p>
        </w:tc>
        <w:tc>
          <w:tcPr/>
          <w:p>
            <w:pPr>
              <w:pStyle w:val="Compact"/>
              <w:jc w:val="left"/>
            </w:pPr>
            <w:r>
              <w:t xml:space="preserve">Digital Media &amp; Social Media Strategy for the Politician's public profile in Israel Tel Aviv (Hebrew &amp; English content)</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Weekly deliverables</w:t>
            </w:r>
          </w:p>
        </w:tc>
      </w:tr>
      <w:tr>
        <w:tc>
          <w:tcPr/>
          <w:p>
            <w:pPr>
              <w:pStyle w:val="Compact"/>
              <w:jc w:val="left"/>
            </w:pPr>
            <w:r>
              <w:t xml:space="preserve">4</w:t>
            </w:r>
          </w:p>
        </w:tc>
        <w:tc>
          <w:tcPr/>
          <w:p>
            <w:pPr>
              <w:pStyle w:val="Compact"/>
              <w:jc w:val="left"/>
            </w:pPr>
            <w:r>
              <w:t xml:space="preserve">Constituent Research &amp; Opinion Polling – quarterly surveys targeting voters in the Tel Aviv metropolitan area</w:t>
            </w:r>
          </w:p>
        </w:tc>
        <w:tc>
          <w:tcPr/>
          <w:p>
            <w:pPr>
              <w:pStyle w:val="Compact"/>
              <w:jc w:val="left"/>
            </w:pPr>
            <w:r>
              <w:t xml:space="preserve">4 quarters</w:t>
            </w:r>
          </w:p>
        </w:tc>
        <w:tc>
          <w:tcPr/>
          <w:p>
            <w:pPr>
              <w:pStyle w:val="Compact"/>
              <w:jc w:val="left"/>
            </w:pPr>
            <w:r>
              <w:t xml:space="preserve">32,000</w:t>
            </w:r>
          </w:p>
        </w:tc>
        <w:tc>
          <w:tcPr/>
          <w:p>
            <w:pPr>
              <w:pStyle w:val="Compact"/>
              <w:jc w:val="left"/>
            </w:pPr>
            <w:r>
              <w:t xml:space="preserve">128,000</w:t>
            </w:r>
          </w:p>
        </w:tc>
        <w:tc>
          <w:tcPr/>
          <w:p>
            <w:pPr>
              <w:pStyle w:val="Compact"/>
              <w:jc w:val="left"/>
            </w:pPr>
            <w:r>
              <w:t xml:space="preserve">Sample n=1,200 per wave</w:t>
            </w:r>
          </w:p>
        </w:tc>
      </w:tr>
      <w:tr>
        <w:tc>
          <w:tcPr/>
          <w:p>
            <w:pPr>
              <w:pStyle w:val="Compact"/>
              <w:jc w:val="left"/>
            </w:pPr>
            <w:r>
              <w:t xml:space="preserve">5</w:t>
            </w:r>
          </w:p>
        </w:tc>
        <w:tc>
          <w:tcPr/>
          <w:p>
            <w:pPr>
              <w:pStyle w:val="Compact"/>
              <w:jc w:val="left"/>
            </w:pPr>
            <w:r>
              <w:t xml:space="preserve">Legislative Briefing &amp; Policy White Paper Development for the Politician's housing and urban development portfolio</w:t>
            </w:r>
          </w:p>
        </w:tc>
        <w:tc>
          <w:tcPr/>
          <w:p>
            <w:pPr>
              <w:pStyle w:val="Compact"/>
              <w:jc w:val="left"/>
            </w:pPr>
            <w:r>
              <w:t xml:space="preserve">6 documents</w:t>
            </w:r>
          </w:p>
        </w:tc>
        <w:tc>
          <w:tcPr/>
          <w:p>
            <w:pPr>
              <w:pStyle w:val="Compact"/>
              <w:jc w:val="left"/>
            </w:pPr>
            <w:r>
              <w:t xml:space="preserve">15,000</w:t>
            </w:r>
          </w:p>
        </w:tc>
        <w:tc>
          <w:tcPr/>
          <w:p>
            <w:pPr>
              <w:pStyle w:val="Compact"/>
              <w:jc w:val="left"/>
            </w:pPr>
            <w:r>
              <w:t xml:space="preserve">90,000</w:t>
            </w:r>
          </w:p>
        </w:tc>
        <w:tc>
          <w:tcPr/>
          <w:p>
            <w:pPr>
              <w:pStyle w:val="Compact"/>
              <w:jc w:val="left"/>
            </w:pPr>
            <w:r>
              <w:t xml:space="preserve">Peer-reviewed drafts</w:t>
            </w:r>
          </w:p>
        </w:tc>
      </w:tr>
      <w:tr>
        <w:tc>
          <w:tcPr/>
          <w:p>
            <w:pPr>
              <w:pStyle w:val="Compact"/>
              <w:jc w:val="left"/>
            </w:pPr>
            <w:r>
              <w:t xml:space="preserve">6</w:t>
            </w:r>
          </w:p>
        </w:tc>
        <w:tc>
          <w:tcPr/>
          <w:p>
            <w:pPr>
              <w:pStyle w:val="Compact"/>
              <w:jc w:val="left"/>
            </w:pPr>
            <w:r>
              <w:t xml:space="preserve">Media Relations &amp; Press Conference Coordination – 12 scheduled press events in Israel Tel Aviv</w:t>
            </w:r>
          </w:p>
        </w:tc>
        <w:tc>
          <w:tcPr/>
          <w:p>
            <w:pPr>
              <w:pStyle w:val="Compact"/>
              <w:jc w:val="left"/>
            </w:pPr>
            <w:r>
              <w:t xml:space="preserve">12 events</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Incl. press kits</w:t>
            </w:r>
          </w:p>
        </w:tc>
      </w:tr>
      <w:tr>
        <w:tc>
          <w:tcPr/>
          <w:p>
            <w:pPr>
              <w:pStyle w:val="Compact"/>
              <w:jc w:val="left"/>
            </w:pPr>
            <w:r>
              <w:t xml:space="preserve">7</w:t>
            </w:r>
          </w:p>
        </w:tc>
        <w:tc>
          <w:tcPr/>
          <w:p>
            <w:pPr>
              <w:pStyle w:val="Compact"/>
              <w:jc w:val="left"/>
            </w:pPr>
            <w:r>
              <w:t xml:space="preserve">Debate Preparation &amp; Opposition Research for Knesset committee hearings</w:t>
            </w:r>
          </w:p>
        </w:tc>
        <w:tc>
          <w:tcPr/>
          <w:p>
            <w:pPr>
              <w:pStyle w:val="Compact"/>
              <w:jc w:val="left"/>
            </w:pPr>
            <w:r>
              <w:t xml:space="preserve">6 sessions</w:t>
            </w:r>
          </w:p>
        </w:tc>
        <w:tc>
          <w:tcPr/>
          <w:p>
            <w:pPr>
              <w:pStyle w:val="Compact"/>
              <w:jc w:val="left"/>
            </w:pPr>
            <w:r>
              <w:t xml:space="preserve">12,000</w:t>
            </w:r>
          </w:p>
        </w:tc>
        <w:tc>
          <w:tcPr/>
          <w:p>
            <w:pPr>
              <w:pStyle w:val="Compact"/>
              <w:jc w:val="left"/>
            </w:pPr>
            <w:r>
              <w:t xml:space="preserve">72,000</w:t>
            </w:r>
          </w:p>
        </w:tc>
        <w:tc>
          <w:tcPr/>
          <w:p>
            <w:pPr>
              <w:pStyle w:val="Compact"/>
              <w:jc w:val="left"/>
            </w:pPr>
            <w:r>
              <w:t xml:space="preserve">Per session</w:t>
            </w:r>
          </w:p>
        </w:tc>
      </w:tr>
      <w:tr>
        <w:tc>
          <w:tcPr/>
          <w:p>
            <w:pPr>
              <w:pStyle w:val="Compact"/>
              <w:jc w:val="left"/>
            </w:pPr>
            <w:r>
              <w:t xml:space="preserve">8</w:t>
            </w:r>
          </w:p>
        </w:tc>
        <w:tc>
          <w:tcPr/>
          <w:p>
            <w:pPr>
              <w:pStyle w:val="Compact"/>
              <w:jc w:val="left"/>
            </w:pPr>
            <w:r>
              <w:t xml:space="preserve">Volunteer Recruitment &amp; Canvassing Operations across Tel Aviv electoral wards</w:t>
            </w:r>
          </w:p>
        </w:tc>
        <w:tc>
          <w:tcPr/>
          <w:p>
            <w:pPr>
              <w:pStyle w:val="Compact"/>
              <w:jc w:val="left"/>
            </w:pPr>
            <w:r>
              <w:t xml:space="preserve">3 months</w:t>
            </w:r>
          </w:p>
        </w:tc>
        <w:tc>
          <w:tcPr/>
          <w:p>
            <w:pPr>
              <w:pStyle w:val="Compact"/>
              <w:jc w:val="left"/>
            </w:pPr>
            <w:r>
              <w:t xml:space="preserve">28,000</w:t>
            </w:r>
          </w:p>
        </w:tc>
        <w:tc>
          <w:tcPr/>
          <w:p>
            <w:pPr>
              <w:pStyle w:val="Compact"/>
              <w:jc w:val="left"/>
            </w:pPr>
            <w:r>
              <w:t xml:space="preserve">84,000</w:t>
            </w:r>
          </w:p>
        </w:tc>
        <w:tc>
          <w:tcPr/>
          <w:p>
            <w:pPr>
              <w:pStyle w:val="Compact"/>
              <w:jc w:val="left"/>
            </w:pPr>
            <w:r>
              <w:t xml:space="preserve">Ground operations</w:t>
            </w:r>
          </w:p>
        </w:tc>
      </w:tr>
      <w:tr>
        <w:tc>
          <w:tcPr>
            <w:gridSpan w:val="4"/>
          </w:tcPr>
          <w:p>
            <w:pPr>
              <w:pStyle w:val="Compact"/>
              <w:jc w:val="right"/>
            </w:pPr>
            <w:r>
              <w:t xml:space="preserve">Subtotal (excl. VAT):</w:t>
            </w:r>
          </w:p>
        </w:tc>
        <w:tc>
          <w:tcPr/>
          <w:p>
            <w:pPr>
              <w:pStyle w:val="Compact"/>
              <w:jc w:val="left"/>
            </w:pPr>
            <w:r>
              <w:t xml:space="preserve">1,440,000</w:t>
            </w:r>
          </w:p>
        </w:tc>
        <w:tc>
          <w:tcPr/>
          <w:p>
            <w:pPr>
              <w:pStyle w:val="Compact"/>
            </w:pPr>
          </w:p>
        </w:tc>
      </w:tr>
      <w:tr>
        <w:tc>
          <w:tcPr>
            <w:gridSpan w:val="4"/>
          </w:tcPr>
          <w:p>
            <w:pPr>
              <w:pStyle w:val="Compact"/>
              <w:jc w:val="right"/>
            </w:pPr>
            <w:r>
              <w:t xml:space="preserve">VAT (18%):</w:t>
            </w:r>
          </w:p>
        </w:tc>
        <w:tc>
          <w:tcPr/>
          <w:p>
            <w:pPr>
              <w:pStyle w:val="Compact"/>
              <w:jc w:val="left"/>
            </w:pPr>
            <w:r>
              <w:t xml:space="preserve">259,200</w:t>
            </w:r>
          </w:p>
        </w:tc>
        <w:tc>
          <w:tcPr/>
          <w:p>
            <w:pPr>
              <w:pStyle w:val="Compact"/>
            </w:pPr>
          </w:p>
        </w:tc>
      </w:tr>
      <w:tr>
        <w:tc>
          <w:tcPr>
            <w:gridSpan w:val="4"/>
          </w:tcPr>
          <w:p>
            <w:pPr>
              <w:pStyle w:val="Compact"/>
              <w:jc w:val="right"/>
            </w:pPr>
            <w:r>
              <w:t xml:space="preserve">TOTAL AMOUNT DUE (incl. VAT):</w:t>
            </w:r>
          </w:p>
        </w:tc>
        <w:tc>
          <w:tcPr/>
          <w:p>
            <w:pPr>
              <w:pStyle w:val="Compact"/>
              <w:jc w:val="left"/>
            </w:pPr>
            <w:r>
              <w:t xml:space="preserve">1,699,200 ILS</w:t>
            </w:r>
          </w:p>
        </w:tc>
        <w:tc>
          <w:tcPr/>
          <w:p>
            <w:pPr>
              <w:pStyle w:val="Compact"/>
            </w:pP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expiry date, all rates and service inclusions are subject to revision based on prevailing market conditions in Israel Tel Aviv.</w:t>
      </w:r>
    </w:p>
    <w:p>
      <w:pPr>
        <w:numPr>
          <w:ilvl w:val="0"/>
          <w:numId w:val="1001"/>
        </w:numPr>
        <w:pStyle w:val="Compact"/>
      </w:pPr>
      <w:r>
        <w:rPr>
          <w:bCs/>
          <w:b/>
        </w:rPr>
        <w:t xml:space="preserve">2. Payment Schedule:</w:t>
      </w:r>
      <w:r>
        <w:t xml:space="preserve"> </w:t>
      </w:r>
      <w:r>
        <w:t xml:space="preserve">Payment shall be made in four (4) equal quarterly installments of ILS 424,800 each, due on the 1st of January, April, July, and October 2025. Late payments shall accrue interest at the rate of 1.5% per month as stipulated under Israeli commercial law.</w:t>
      </w:r>
    </w:p>
    <w:p>
      <w:pPr>
        <w:numPr>
          <w:ilvl w:val="0"/>
          <w:numId w:val="1001"/>
        </w:numPr>
        <w:pStyle w:val="Compact"/>
      </w:pPr>
      <w:r>
        <w:rPr>
          <w:bCs/>
          <w:b/>
        </w:rPr>
        <w:t xml:space="preserve">3. Scope Limitations:</w:t>
      </w:r>
      <w:r>
        <w:t xml:space="preserve"> </w:t>
      </w:r>
      <w:r>
        <w:t xml:space="preserve">This Quotation Estimate covers the Politician's activities and engagements specifically within the Tel Aviv-Yafo municipality and its immediate metropolitan surroundings. Any services required in other districts of Israel shall be quoted separately.</w:t>
      </w:r>
    </w:p>
    <w:p>
      <w:pPr>
        <w:numPr>
          <w:ilvl w:val="0"/>
          <w:numId w:val="1001"/>
        </w:numPr>
        <w:pStyle w:val="Compact"/>
      </w:pPr>
      <w:r>
        <w:rPr>
          <w:bCs/>
          <w:b/>
        </w:rPr>
        <w:t xml:space="preserve">4. Confidentiality:</w:t>
      </w:r>
      <w:r>
        <w:t xml:space="preserve"> </w:t>
      </w:r>
      <w:r>
        <w:t xml:space="preserve">All strategic materials, polling data, and policy documents prepared under this engagement are classified as confidential. The Politician's office and Meridian Political Strategy Group Ltd. shall each maintain strict non-disclosure obligations in accordance with the Israeli Privacy Protection Law, 5741-1981.</w:t>
      </w:r>
    </w:p>
    <w:p>
      <w:pPr>
        <w:numPr>
          <w:ilvl w:val="0"/>
          <w:numId w:val="1001"/>
        </w:numPr>
        <w:pStyle w:val="Compact"/>
      </w:pPr>
      <w:r>
        <w:rPr>
          <w:bCs/>
          <w:b/>
        </w:rPr>
        <w:t xml:space="preserve">5. Cancellation:</w:t>
      </w:r>
      <w:r>
        <w:t xml:space="preserve"> </w:t>
      </w:r>
      <w:r>
        <w:t xml:space="preserve">Either party may terminate this Quotation Estimate agreement with sixty (60) days' written notice. In the event of early termination, the Politician's office shall be liable for all services rendered up to the termination date plus a 10% administrative fee.</w:t>
      </w:r>
    </w:p>
    <w:p>
      <w:pPr>
        <w:numPr>
          <w:ilvl w:val="0"/>
          <w:numId w:val="1001"/>
        </w:numPr>
        <w:pStyle w:val="Compact"/>
      </w:pPr>
      <w:r>
        <w:rPr>
          <w:bCs/>
          <w:b/>
        </w:rPr>
        <w:t xml:space="preserve">6. Regulatory Compliance:</w:t>
      </w:r>
      <w:r>
        <w:t xml:space="preserve"> </w:t>
      </w:r>
      <w:r>
        <w:t xml:space="preserve">All campaign-related expenditures detailed in this Quotation Estimate shall be reported in full compliance with the Israeli Election Law, 5748-1988, and the regulations of the Central Election Committee. The Politician's office retains ultimate responsibility for statutory filings.</w:t>
      </w:r>
    </w:p>
    <w:p>
      <w:pPr>
        <w:numPr>
          <w:ilvl w:val="0"/>
          <w:numId w:val="1001"/>
        </w:numPr>
        <w:pStyle w:val="Compact"/>
      </w:pPr>
      <w:r>
        <w:rPr>
          <w:bCs/>
          <w:b/>
        </w:rPr>
        <w:t xml:space="preserve">7. Dispute Resolution:</w:t>
      </w:r>
      <w:r>
        <w:t xml:space="preserve"> </w:t>
      </w:r>
      <w:r>
        <w:t xml:space="preserve">Any dispute arising from this Quotation Estimate shall be resolved through binding arbitration in Tel Aviv, Israel, under the rules of the Arbitration Association of Israel.</w:t>
      </w:r>
    </w:p>
    <w:p>
      <w:pPr>
        <w:numPr>
          <w:ilvl w:val="0"/>
          <w:numId w:val="1001"/>
        </w:numPr>
        <w:pStyle w:val="Compact"/>
      </w:pPr>
      <w:r>
        <w:rPr>
          <w:bCs/>
          <w:b/>
        </w:rPr>
        <w:t xml:space="preserve">8. Force Majeure:</w:t>
      </w:r>
      <w:r>
        <w:t xml:space="preserve"> </w:t>
      </w:r>
      <w:r>
        <w:t xml:space="preserve">Neither party shall be liable for failure to perform obligations due to events beyond reasonable control, including but not limited to government-mandated closures, security incidents, or acts of war affecting operations in Israel Tel Aviv.</w:t>
      </w:r>
    </w:p>
    <w:bookmarkEnd w:id="24"/>
    <w:bookmarkStart w:id="25" w:name="acceptance-authorization"/>
    <w:p>
      <w:pPr>
        <w:pStyle w:val="Heading2"/>
      </w:pPr>
      <w:r>
        <w:t xml:space="preserve">Acceptance &amp; Authorization</w:t>
      </w:r>
    </w:p>
    <w:p>
      <w:pPr>
        <w:pStyle w:val="FirstParagraph"/>
      </w:pPr>
      <w:r>
        <w:t xml:space="preserve">By signing below, the Politician's authorized representative confirms acceptance of this Quotation Estimate and authorizes Meridian Political Strategy Group Ltd. to commence the services described herein. This document constitutes a binding commercial agreement upon dual signature.</w:t>
      </w:r>
    </w:p>
    <w:p>
      <w:pPr>
        <w:pStyle w:val="BodyText"/>
      </w:pPr>
      <w:r>
        <w:rPr>
          <w:bCs/>
          <w:b/>
        </w:rPr>
        <w:t xml:space="preserve">For Meridian Political Strategy Group Ltd.</w:t>
      </w:r>
    </w:p>
    <w:p>
      <w:pPr>
        <w:pStyle w:val="BodyText"/>
      </w:pPr>
      <w:r>
        <w:t xml:space="preserve">Name: David Ben-Ami, Managing Director</w:t>
      </w:r>
      <w:r>
        <w:br/>
      </w:r>
      <w:r>
        <w:t xml:space="preserve">Signature: _________________________</w:t>
      </w:r>
      <w:r>
        <w:br/>
      </w:r>
      <w:r>
        <w:t xml:space="preserve">Date: _________________________</w:t>
      </w:r>
    </w:p>
    <w:p>
      <w:pPr>
        <w:pStyle w:val="BodyText"/>
      </w:pPr>
      <w:r>
        <w:rPr>
          <w:bCs/>
          <w:b/>
        </w:rPr>
        <w:t xml:space="preserve">For the Office of the Politician (Client)</w:t>
      </w:r>
    </w:p>
    <w:p>
      <w:pPr>
        <w:pStyle w:val="BodyText"/>
      </w:pPr>
      <w:r>
        <w:t xml:space="preserve">Name: _________________________</w:t>
      </w:r>
      <w:r>
        <w:br/>
      </w:r>
      <w:r>
        <w:t xml:space="preserve">Title: Campaign Manager / Authorized Signatory</w:t>
      </w:r>
      <w:r>
        <w:br/>
      </w:r>
      <w:r>
        <w:t xml:space="preserve">Signature: _________________________</w:t>
      </w:r>
      <w:r>
        <w:br/>
      </w:r>
      <w:r>
        <w:t xml:space="preserve">Date: _________________________</w:t>
      </w:r>
    </w:p>
    <w:p>
      <w:pPr>
        <w:pStyle w:val="BodyText"/>
      </w:pPr>
      <w:r>
        <w:t xml:space="preserve">Quotation Estimate QTE-TLV-2025-04782 | Meridian Political Strategy Group Ltd. | 142 Rothschild Avenue, Tel Aviv-Yafo, Israel 6388801</w:t>
      </w:r>
    </w:p>
    <w:p>
      <w:pPr>
        <w:pStyle w:val="BodyText"/>
      </w:pPr>
      <w:r>
        <w:t xml:space="preserve">This document is generated electronically and is valid without a physical stamp. For inquiries, contact estimates@meridianpolitics.co.il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Israel Tel Aviv</dc:title>
  <dc:creator/>
  <dc:language>en</dc:language>
  <cp:keywords/>
  <dcterms:created xsi:type="dcterms:W3CDTF">2026-10-10T02:43:52Z</dcterms:created>
  <dcterms:modified xsi:type="dcterms:W3CDTF">2026-10-10T02:43:52Z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