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Almaty,</w:t>
      </w:r>
      <w:r>
        <w:t xml:space="preserve"> </w:t>
      </w:r>
      <w:r>
        <w:t xml:space="preserve">Kazakhstan</w:t>
      </w:r>
    </w:p>
    <w:bookmarkStart w:id="20" w:name="quotation-estimate"/>
    <w:p>
      <w:pPr>
        <w:pStyle w:val="Heading1"/>
      </w:pPr>
      <w:r>
        <w:t xml:space="preserve">QUOTATION ESTIMATE</w:t>
      </w:r>
    </w:p>
    <w:p>
      <w:pPr>
        <w:pStyle w:val="FirstParagraph"/>
      </w:pPr>
      <w:r>
        <w:t xml:space="preserve">Professional Political Advisory &amp; Campaign Strategy Services</w:t>
      </w:r>
    </w:p>
    <w:p>
      <w:pPr>
        <w:pStyle w:val="BodyText"/>
      </w:pPr>
      <w:r>
        <w:t xml:space="preserve">Issued for use in Almaty, Kazakhstan</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QE-ALM-2025-0472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USD / KZT</w:t>
      </w:r>
    </w:p>
    <w:bookmarkEnd w:id="21"/>
    <w:bookmarkStart w:id="22" w:name="service-provider"/>
    <w:p>
      <w:pPr>
        <w:pStyle w:val="Heading3"/>
      </w:pPr>
      <w:r>
        <w:t xml:space="preserve">Service Provider</w:t>
      </w:r>
    </w:p>
    <w:p>
      <w:pPr>
        <w:pStyle w:val="FirstParagraph"/>
      </w:pPr>
      <w:r>
        <w:rPr>
          <w:bCs/>
          <w:b/>
        </w:rPr>
        <w:t xml:space="preserve">Company:</w:t>
      </w:r>
      <w:r>
        <w:t xml:space="preserve"> </w:t>
      </w:r>
      <w:r>
        <w:t xml:space="preserve">Eurasia Political Strategy Group LLP</w:t>
      </w:r>
    </w:p>
    <w:p>
      <w:pPr>
        <w:pStyle w:val="BodyText"/>
      </w:pPr>
      <w:r>
        <w:rPr>
          <w:bCs/>
          <w:b/>
        </w:rPr>
        <w:t xml:space="preserve">Address:</w:t>
      </w:r>
      <w:r>
        <w:t xml:space="preserve"> </w:t>
      </w:r>
      <w:r>
        <w:t xml:space="preserve">Dostyk Avenue 104, Office 712, Almaty, Kazakhstan</w:t>
      </w:r>
    </w:p>
    <w:p>
      <w:pPr>
        <w:pStyle w:val="BodyText"/>
      </w:pPr>
      <w:r>
        <w:rPr>
          <w:bCs/>
          <w:b/>
        </w:rPr>
        <w:t xml:space="preserve">Contact:</w:t>
      </w:r>
      <w:r>
        <w:t xml:space="preserve"> </w:t>
      </w:r>
      <w:r>
        <w:t xml:space="preserve">+7 (727) 555-0142</w:t>
      </w:r>
    </w:p>
    <w:p>
      <w:pPr>
        <w:pStyle w:val="BodyText"/>
      </w:pPr>
      <w:r>
        <w:rPr>
          <w:bCs/>
          <w:b/>
        </w:rPr>
        <w:t xml:space="preserve">Email:</w:t>
      </w:r>
      <w:r>
        <w:t xml:space="preserve"> </w:t>
      </w:r>
      <w:r>
        <w:t xml:space="preserve">estimates@eurasia-polstrat.kz</w:t>
      </w:r>
    </w:p>
    <w:bookmarkEnd w:id="22"/>
    <w:bookmarkStart w:id="23" w:name="client-politician"/>
    <w:p>
      <w:pPr>
        <w:pStyle w:val="Heading3"/>
      </w:pPr>
      <w:r>
        <w:t xml:space="preserve">Client / Politician</w:t>
      </w:r>
    </w:p>
    <w:p>
      <w:pPr>
        <w:pStyle w:val="FirstParagraph"/>
      </w:pPr>
      <w:r>
        <w:rPr>
          <w:bCs/>
          <w:b/>
        </w:rPr>
        <w:t xml:space="preserve">Name:</w:t>
      </w:r>
      <w:r>
        <w:t xml:space="preserve"> </w:t>
      </w:r>
      <w:r>
        <w:t xml:space="preserve">[Politician Full Name]</w:t>
      </w:r>
    </w:p>
    <w:p>
      <w:pPr>
        <w:pStyle w:val="BodyText"/>
      </w:pPr>
      <w:r>
        <w:rPr>
          <w:bCs/>
          <w:b/>
        </w:rPr>
        <w:t xml:space="preserve">Title:</w:t>
      </w:r>
      <w:r>
        <w:t xml:space="preserve"> </w:t>
      </w:r>
      <w:r>
        <w:t xml:space="preserve">Candidate, Almaty City Assembly</w:t>
      </w:r>
    </w:p>
    <w:p>
      <w:pPr>
        <w:pStyle w:val="BodyText"/>
      </w:pPr>
      <w:r>
        <w:rPr>
          <w:bCs/>
          <w:b/>
        </w:rPr>
        <w:t xml:space="preserve">Address:</w:t>
      </w:r>
      <w:r>
        <w:t xml:space="preserve"> </w:t>
      </w:r>
      <w:r>
        <w:t xml:space="preserve">Abay Avenue 45, Almaty, Kazakhstan</w:t>
      </w:r>
    </w:p>
    <w:p>
      <w:pPr>
        <w:pStyle w:val="BodyText"/>
      </w:pPr>
      <w:r>
        <w:rPr>
          <w:bCs/>
          <w:b/>
        </w:rPr>
        <w:t xml:space="preserve">Contact:</w:t>
      </w:r>
      <w:r>
        <w:t xml:space="preserve"> </w:t>
      </w:r>
      <w:r>
        <w:t xml:space="preserve">+7 (701) 234-5678</w:t>
      </w:r>
    </w:p>
    <w:bookmarkEnd w:id="23"/>
    <w:bookmarkStart w:id="24"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prepared to outline the scope, deliverables, and associated costs for comprehensive political advisory services rendered to a</w:t>
      </w:r>
      <w:r>
        <w:t xml:space="preserve"> </w:t>
      </w:r>
      <w:r>
        <w:t xml:space="preserve">Politician</w:t>
      </w:r>
      <w:r>
        <w:t xml:space="preserve"> </w:t>
      </w:r>
      <w:r>
        <w:t xml:space="preserve">operating within the jurisdiction of</w:t>
      </w:r>
      <w:r>
        <w:t xml:space="preserve"> </w:t>
      </w:r>
      <w:r>
        <w:t xml:space="preserve">Kazakhstan Almaty</w:t>
      </w:r>
      <w:r>
        <w:t xml:space="preserve">. The services described herein are designed to support the Politician in preparing for, managing, and executing a municipal-level electoral campaign in the city of Almaty, the capital and largest metropolitan area of the Republic of Kazakhstan. All pricing, timelines, and professional obligations set forth in this document are binding upon acceptance and are subject to the terms and conditions specified in Section 6.</w:t>
      </w:r>
    </w:p>
    <w:bookmarkEnd w:id="24"/>
    <w:bookmarkStart w:id="25" w:name="scope-of-services"/>
    <w:p>
      <w:pPr>
        <w:pStyle w:val="Heading2"/>
      </w:pPr>
      <w:r>
        <w:t xml:space="preserve">2. Scope of Services</w:t>
      </w:r>
    </w:p>
    <w:p>
      <w:pPr>
        <w:pStyle w:val="FirstParagraph"/>
      </w:pPr>
      <w:r>
        <w:t xml:space="preserve">The following professional services are included in this Quotation Estimate for the Politician's campaign operations in Kazakhstan Almaty:</w:t>
      </w:r>
    </w:p>
    <w:p>
      <w:pPr>
        <w:numPr>
          <w:ilvl w:val="0"/>
          <w:numId w:val="1001"/>
        </w:numPr>
        <w:pStyle w:val="Compact"/>
      </w:pPr>
      <w:r>
        <w:rPr>
          <w:bCs/>
          <w:b/>
        </w:rPr>
        <w:t xml:space="preserve">Political Strategy Development:</w:t>
      </w:r>
      <w:r>
        <w:t xml:space="preserve"> </w:t>
      </w:r>
      <w:r>
        <w:t xml:space="preserve">A comprehensive campaign strategy tailored to the unique political landscape of Almaty, including voter demographic analysis, polling district mapping, and competitive positioning against rival candidates in the Kazakhstan Almaty municipal elections.</w:t>
      </w:r>
    </w:p>
    <w:p>
      <w:pPr>
        <w:numPr>
          <w:ilvl w:val="0"/>
          <w:numId w:val="1001"/>
        </w:numPr>
        <w:pStyle w:val="Compact"/>
      </w:pPr>
      <w:r>
        <w:rPr>
          <w:bCs/>
          <w:b/>
        </w:rPr>
        <w:t xml:space="preserve">Public Speaking &amp; Media Training:</w:t>
      </w:r>
      <w:r>
        <w:t xml:space="preserve"> </w:t>
      </w:r>
      <w:r>
        <w:t xml:space="preserve">A minimum of twelve (12) one-on-one coaching sessions for the Politician, covering debate preparation, press conference management, television interview technique, and social media engagement specific to Kazakh-speaking and Russian-speaking audiences in Almaty.</w:t>
      </w:r>
    </w:p>
    <w:p>
      <w:pPr>
        <w:numPr>
          <w:ilvl w:val="0"/>
          <w:numId w:val="1001"/>
        </w:numPr>
        <w:pStyle w:val="Compact"/>
      </w:pPr>
      <w:r>
        <w:rPr>
          <w:bCs/>
          <w:b/>
        </w:rPr>
        <w:t xml:space="preserve">Campaign Messaging &amp; Branding:</w:t>
      </w:r>
      <w:r>
        <w:t xml:space="preserve"> </w:t>
      </w:r>
      <w:r>
        <w:t xml:space="preserve">Development of a unified political brand identity, including slogan creation, visual identity design, and a 40-page campaign manifesto aligned with the Politician's policy platform for Kazakhstan Almaty residents.</w:t>
      </w:r>
    </w:p>
    <w:p>
      <w:pPr>
        <w:numPr>
          <w:ilvl w:val="0"/>
          <w:numId w:val="1001"/>
        </w:numPr>
        <w:pStyle w:val="Compact"/>
      </w:pPr>
      <w:r>
        <w:rPr>
          <w:bCs/>
          <w:b/>
        </w:rPr>
        <w:t xml:space="preserve">Digital Campaign Management:</w:t>
      </w:r>
      <w:r>
        <w:t xml:space="preserve"> </w:t>
      </w:r>
      <w:r>
        <w:t xml:space="preserve">Full management of the Politician's digital presence across social media platforms, including content calendar development, paid advertising campaigns targeting Almaty voter segments, and real-time sentiment monitoring.</w:t>
      </w:r>
    </w:p>
    <w:p>
      <w:pPr>
        <w:numPr>
          <w:ilvl w:val="0"/>
          <w:numId w:val="1001"/>
        </w:numPr>
        <w:pStyle w:val="Compact"/>
      </w:pPr>
      <w:r>
        <w:rPr>
          <w:bCs/>
          <w:b/>
        </w:rPr>
        <w:t xml:space="preserve">Field Operations Planning:</w:t>
      </w:r>
      <w:r>
        <w:t xml:space="preserve"> </w:t>
      </w:r>
      <w:r>
        <w:t xml:space="preserve">Coordination of ground-level campaign activities in Almaty, including rally logistics, door-to-door canvassing schedules, volunteer recruitment and training, and compliance with the Electoral Code of the Republic of Kazakhstan.</w:t>
      </w:r>
    </w:p>
    <w:p>
      <w:pPr>
        <w:numPr>
          <w:ilvl w:val="0"/>
          <w:numId w:val="1001"/>
        </w:numPr>
        <w:pStyle w:val="Compact"/>
      </w:pPr>
      <w:r>
        <w:rPr>
          <w:bCs/>
          <w:b/>
        </w:rPr>
        <w:t xml:space="preserve">Legal &amp; Regulatory Compliance Advisory:</w:t>
      </w:r>
      <w:r>
        <w:t xml:space="preserve"> </w:t>
      </w:r>
      <w:r>
        <w:t xml:space="preserve">Ongoing consultation to ensure all campaign expenditures, public statements, and organizational activities of the Politician comply with Kazakhstan's electoral legislation and local Almaty municipal regulations.</w:t>
      </w:r>
    </w:p>
    <w:bookmarkEnd w:id="25"/>
    <w:bookmarkStart w:id="26"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Political Strategy Development &amp; Voter Analysis for Kazakhstan Almaty</w:t>
            </w:r>
          </w:p>
        </w:tc>
        <w:tc>
          <w:tcPr/>
          <w:p>
            <w:pPr>
              <w:pStyle w:val="Compact"/>
              <w:jc w:val="left"/>
            </w:pPr>
            <w:r>
              <w:t xml:space="preserve">1 engagement</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Public Speaking &amp; Media Training Sessions for the Politician</w:t>
            </w:r>
          </w:p>
        </w:tc>
        <w:tc>
          <w:tcPr/>
          <w:p>
            <w:pPr>
              <w:pStyle w:val="Compact"/>
              <w:jc w:val="left"/>
            </w:pPr>
            <w:r>
              <w:t xml:space="preserve">12 sessions</w:t>
            </w:r>
          </w:p>
        </w:tc>
        <w:tc>
          <w:tcPr/>
          <w:p>
            <w:pPr>
              <w:pStyle w:val="Compact"/>
              <w:jc w:val="left"/>
            </w:pPr>
            <w:r>
              <w:t xml:space="preserve">$650</w:t>
            </w:r>
          </w:p>
        </w:tc>
        <w:tc>
          <w:tcPr/>
          <w:p>
            <w:pPr>
              <w:pStyle w:val="Compact"/>
              <w:jc w:val="left"/>
            </w:pPr>
            <w:r>
              <w:t xml:space="preserve">$7,800</w:t>
            </w:r>
          </w:p>
        </w:tc>
      </w:tr>
      <w:tr>
        <w:tc>
          <w:tcPr/>
          <w:p>
            <w:pPr>
              <w:pStyle w:val="Compact"/>
              <w:jc w:val="left"/>
            </w:pPr>
            <w:r>
              <w:t xml:space="preserve">03</w:t>
            </w:r>
          </w:p>
        </w:tc>
        <w:tc>
          <w:tcPr/>
          <w:p>
            <w:pPr>
              <w:pStyle w:val="Compact"/>
              <w:jc w:val="left"/>
            </w:pPr>
            <w:r>
              <w:t xml:space="preserve">Campaign Messaging, Branding &amp; Manifesto Development</w:t>
            </w:r>
          </w:p>
        </w:tc>
        <w:tc>
          <w:tcPr/>
          <w:p>
            <w:pPr>
              <w:pStyle w:val="Compact"/>
              <w:jc w:val="left"/>
            </w:pPr>
            <w:r>
              <w:t xml:space="preserve">1 package</w:t>
            </w:r>
          </w:p>
        </w:tc>
        <w:tc>
          <w:tcPr/>
          <w:p>
            <w:pPr>
              <w:pStyle w:val="Compact"/>
              <w:jc w:val="left"/>
            </w:pPr>
            <w:r>
              <w:t xml:space="preserve">$5,200</w:t>
            </w:r>
          </w:p>
        </w:tc>
        <w:tc>
          <w:tcPr/>
          <w:p>
            <w:pPr>
              <w:pStyle w:val="Compact"/>
              <w:jc w:val="left"/>
            </w:pPr>
            <w:r>
              <w:t xml:space="preserve">$5,200</w:t>
            </w:r>
          </w:p>
        </w:tc>
      </w:tr>
      <w:tr>
        <w:tc>
          <w:tcPr/>
          <w:p>
            <w:pPr>
              <w:pStyle w:val="Compact"/>
              <w:jc w:val="left"/>
            </w:pPr>
            <w:r>
              <w:t xml:space="preserve">04</w:t>
            </w:r>
          </w:p>
        </w:tc>
        <w:tc>
          <w:tcPr/>
          <w:p>
            <w:pPr>
              <w:pStyle w:val="Compact"/>
              <w:jc w:val="left"/>
            </w:pPr>
            <w:r>
              <w:t xml:space="preserve">Digital Campaign Management (Social Media, Paid Ads, Analytics)</w:t>
            </w:r>
          </w:p>
        </w:tc>
        <w:tc>
          <w:tcPr/>
          <w:p>
            <w:pPr>
              <w:pStyle w:val="Compact"/>
              <w:jc w:val="left"/>
            </w:pPr>
            <w:r>
              <w:t xml:space="preserve">90 days</w:t>
            </w:r>
          </w:p>
        </w:tc>
        <w:tc>
          <w:tcPr/>
          <w:p>
            <w:pPr>
              <w:pStyle w:val="Compact"/>
              <w:jc w:val="left"/>
            </w:pPr>
            <w:r>
              <w:t xml:space="preserve">$1,200/mo</w:t>
            </w:r>
          </w:p>
        </w:tc>
        <w:tc>
          <w:tcPr/>
          <w:p>
            <w:pPr>
              <w:pStyle w:val="Compact"/>
              <w:jc w:val="left"/>
            </w:pPr>
            <w:r>
              <w:t xml:space="preserve">$3,600</w:t>
            </w:r>
          </w:p>
        </w:tc>
      </w:tr>
      <w:tr>
        <w:tc>
          <w:tcPr/>
          <w:p>
            <w:pPr>
              <w:pStyle w:val="Compact"/>
              <w:jc w:val="left"/>
            </w:pPr>
            <w:r>
              <w:t xml:space="preserve">05</w:t>
            </w:r>
          </w:p>
        </w:tc>
        <w:tc>
          <w:tcPr/>
          <w:p>
            <w:pPr>
              <w:pStyle w:val="Compact"/>
              <w:jc w:val="left"/>
            </w:pPr>
            <w:r>
              <w:t xml:space="preserve">Field Operations Planning &amp; Volunteer Coordination in Almaty</w:t>
            </w:r>
          </w:p>
        </w:tc>
        <w:tc>
          <w:tcPr/>
          <w:p>
            <w:pPr>
              <w:pStyle w:val="Compact"/>
              <w:jc w:val="left"/>
            </w:pPr>
            <w:r>
              <w:t xml:space="preserve">90 days</w:t>
            </w:r>
          </w:p>
        </w:tc>
        <w:tc>
          <w:tcPr/>
          <w:p>
            <w:pPr>
              <w:pStyle w:val="Compact"/>
              <w:jc w:val="left"/>
            </w:pPr>
            <w:r>
              <w:t xml:space="preserve">$950/mo</w:t>
            </w:r>
          </w:p>
        </w:tc>
        <w:tc>
          <w:tcPr/>
          <w:p>
            <w:pPr>
              <w:pStyle w:val="Compact"/>
              <w:jc w:val="left"/>
            </w:pPr>
            <w:r>
              <w:t xml:space="preserve">$2,850</w:t>
            </w:r>
          </w:p>
        </w:tc>
      </w:tr>
      <w:tr>
        <w:tc>
          <w:tcPr/>
          <w:p>
            <w:pPr>
              <w:pStyle w:val="Compact"/>
              <w:jc w:val="left"/>
            </w:pPr>
            <w:r>
              <w:t xml:space="preserve">06</w:t>
            </w:r>
          </w:p>
        </w:tc>
        <w:tc>
          <w:tcPr/>
          <w:p>
            <w:pPr>
              <w:pStyle w:val="Compact"/>
              <w:jc w:val="left"/>
            </w:pPr>
            <w:r>
              <w:t xml:space="preserve">Legal &amp; Electoral Compliance Advisory (Kazakhstan Almaty)</w:t>
            </w:r>
          </w:p>
        </w:tc>
        <w:tc>
          <w:tcPr/>
          <w:p>
            <w:pPr>
              <w:pStyle w:val="Compact"/>
              <w:jc w:val="left"/>
            </w:pPr>
            <w:r>
              <w:t xml:space="preserve">90 days</w:t>
            </w:r>
          </w:p>
        </w:tc>
        <w:tc>
          <w:tcPr/>
          <w:p>
            <w:pPr>
              <w:pStyle w:val="Compact"/>
              <w:jc w:val="left"/>
            </w:pPr>
            <w:r>
              <w:t xml:space="preserve">$700/mo</w:t>
            </w:r>
          </w:p>
        </w:tc>
        <w:tc>
          <w:tcPr/>
          <w:p>
            <w:pPr>
              <w:pStyle w:val="Compact"/>
              <w:jc w:val="left"/>
            </w:pPr>
            <w:r>
              <w:t xml:space="preserve">$2,100</w:t>
            </w:r>
          </w:p>
        </w:tc>
      </w:tr>
      <w:tr>
        <w:tc>
          <w:tcPr/>
          <w:p>
            <w:pPr>
              <w:pStyle w:val="Compact"/>
              <w:jc w:val="left"/>
            </w:pPr>
            <w:r>
              <w:t xml:space="preserve">07</w:t>
            </w:r>
          </w:p>
        </w:tc>
        <w:tc>
          <w:tcPr/>
          <w:p>
            <w:pPr>
              <w:pStyle w:val="Compact"/>
              <w:jc w:val="left"/>
            </w:pPr>
            <w:r>
              <w:t xml:space="preserve">On-Site Campaign Manager (Dedicated, Almaty-based)</w:t>
            </w:r>
          </w:p>
        </w:tc>
        <w:tc>
          <w:tcPr/>
          <w:p>
            <w:pPr>
              <w:pStyle w:val="Compact"/>
              <w:jc w:val="left"/>
            </w:pPr>
            <w:r>
              <w:t xml:space="preserve">90 days</w:t>
            </w:r>
          </w:p>
        </w:tc>
        <w:tc>
          <w:tcPr/>
          <w:p>
            <w:pPr>
              <w:pStyle w:val="Compact"/>
              <w:jc w:val="left"/>
            </w:pPr>
            <w:r>
              <w:t xml:space="preserve">$1,400/mo</w:t>
            </w:r>
          </w:p>
        </w:tc>
        <w:tc>
          <w:tcPr/>
          <w:p>
            <w:pPr>
              <w:pStyle w:val="Compact"/>
              <w:jc w:val="left"/>
            </w:pPr>
            <w:r>
              <w:t xml:space="preserve">$4,200</w:t>
            </w:r>
          </w:p>
        </w:tc>
      </w:tr>
      <w:tr>
        <w:tc>
          <w:tcPr/>
          <w:p>
            <w:pPr>
              <w:pStyle w:val="Compact"/>
              <w:jc w:val="left"/>
            </w:pPr>
            <w:r>
              <w:t xml:space="preserve">08</w:t>
            </w:r>
          </w:p>
        </w:tc>
        <w:tc>
          <w:tcPr/>
          <w:p>
            <w:pPr>
              <w:pStyle w:val="Compact"/>
              <w:jc w:val="left"/>
            </w:pPr>
            <w:r>
              <w:t xml:space="preserve">Contingency &amp; Miscellaneous (Travel within Almaty, Printing, Materials)</w:t>
            </w:r>
          </w:p>
        </w:tc>
        <w:tc>
          <w:tcPr/>
          <w:p>
            <w:pPr>
              <w:pStyle w:val="Compact"/>
              <w:jc w:val="left"/>
            </w:pPr>
            <w:r>
              <w:t xml:space="preserve">1 allocation</w:t>
            </w:r>
          </w:p>
        </w:tc>
        <w:tc>
          <w:tcPr/>
          <w:p>
            <w:pPr>
              <w:pStyle w:val="Compact"/>
              <w:jc w:val="left"/>
            </w:pPr>
            <w:r>
              <w:t xml:space="preserve">$1,850</w:t>
            </w:r>
          </w:p>
        </w:tc>
        <w:tc>
          <w:tcPr/>
          <w:p>
            <w:pPr>
              <w:pStyle w:val="Compact"/>
              <w:jc w:val="left"/>
            </w:pPr>
            <w:r>
              <w:t xml:space="preserve">$1,850</w:t>
            </w:r>
          </w:p>
        </w:tc>
      </w:tr>
      <w:tr>
        <w:tc>
          <w:tcPr>
            <w:gridSpan w:val="4"/>
          </w:tcPr>
          <w:p>
            <w:pPr>
              <w:pStyle w:val="Compact"/>
              <w:jc w:val="left"/>
            </w:pPr>
            <w:r>
              <w:t xml:space="preserve">TOTAL ESTIMATED COST</w:t>
            </w:r>
          </w:p>
        </w:tc>
        <w:tc>
          <w:tcPr/>
          <w:p>
            <w:pPr>
              <w:pStyle w:val="Compact"/>
              <w:jc w:val="left"/>
            </w:pPr>
            <w:r>
              <w:t xml:space="preserve">$36,100</w:t>
            </w:r>
          </w:p>
        </w:tc>
      </w:tr>
      <w:tr>
        <w:tc>
          <w:tcPr>
            <w:gridSpan w:val="4"/>
          </w:tcPr>
          <w:p>
            <w:pPr>
              <w:pStyle w:val="Compact"/>
              <w:jc w:val="left"/>
            </w:pPr>
            <w:r>
              <w:t xml:space="preserve">TOTAL ESTIMATED COST (KZT, at rate 485 KZT/USD)</w:t>
            </w:r>
          </w:p>
        </w:tc>
        <w:tc>
          <w:tcPr/>
          <w:p>
            <w:pPr>
              <w:pStyle w:val="Compact"/>
              <w:jc w:val="left"/>
            </w:pPr>
            <w:r>
              <w:t xml:space="preserve">17,508,500 KZT</w:t>
            </w:r>
          </w:p>
        </w:tc>
      </w:tr>
    </w:tbl>
    <w:bookmarkEnd w:id="26"/>
    <w:bookmarkStart w:id="27" w:name="payment-terms"/>
    <w:p>
      <w:pPr>
        <w:pStyle w:val="Heading2"/>
      </w:pPr>
      <w:r>
        <w:t xml:space="preserve">4. Payment Terms</w:t>
      </w:r>
    </w:p>
    <w:p>
      <w:pPr>
        <w:pStyle w:val="FirstParagraph"/>
      </w:pPr>
      <w:r>
        <w:t xml:space="preserve">This Quotation Estimate stipulates the following payment schedule for the Politician's engagement in Kazakhstan Almaty:</w:t>
      </w:r>
    </w:p>
    <w:p>
      <w:pPr>
        <w:numPr>
          <w:ilvl w:val="0"/>
          <w:numId w:val="1002"/>
        </w:numPr>
        <w:pStyle w:val="Compact"/>
      </w:pPr>
      <w:r>
        <w:rPr>
          <w:bCs/>
          <w:b/>
        </w:rPr>
        <w:t xml:space="preserve">30% Advance Payment:</w:t>
      </w:r>
      <w:r>
        <w:t xml:space="preserve"> </w:t>
      </w:r>
      <w:r>
        <w:t xml:space="preserve">Due upon signed acceptance of this Quotation Estimate, prior to commencement of services.</w:t>
      </w:r>
    </w:p>
    <w:p>
      <w:pPr>
        <w:numPr>
          <w:ilvl w:val="0"/>
          <w:numId w:val="1002"/>
        </w:numPr>
        <w:pStyle w:val="Compact"/>
      </w:pPr>
      <w:r>
        <w:rPr>
          <w:bCs/>
          <w:b/>
        </w:rPr>
        <w:t xml:space="preserve">40% Mid-Engagement Payment:</w:t>
      </w:r>
      <w:r>
        <w:t xml:space="preserve"> </w:t>
      </w:r>
      <w:r>
        <w:t xml:space="preserve">Due at the 45-day mark of the 90-day service period.</w:t>
      </w:r>
    </w:p>
    <w:p>
      <w:pPr>
        <w:numPr>
          <w:ilvl w:val="0"/>
          <w:numId w:val="1002"/>
        </w:numPr>
        <w:pStyle w:val="Compact"/>
      </w:pPr>
      <w:r>
        <w:rPr>
          <w:bCs/>
          <w:b/>
        </w:rPr>
        <w:t xml:space="preserve">30% Final Payment:</w:t>
      </w:r>
      <w:r>
        <w:t xml:space="preserve"> </w:t>
      </w:r>
      <w:r>
        <w:t xml:space="preserve">Due within ten (10) business days following the conclusion of all deliverables and the final campaign debrief session.</w:t>
      </w:r>
    </w:p>
    <w:p>
      <w:pPr>
        <w:pStyle w:val="FirstParagraph"/>
      </w:pPr>
      <w:r>
        <w:t xml:space="preserve">All payments shall be made via bank transfer to the account of Eurasia Political Strategy Group LLP, Almaty, Kazakhstan. Late payments shall incur a penalty of 1.5% per month on the outstanding balance.</w:t>
      </w:r>
    </w:p>
    <w:bookmarkEnd w:id="27"/>
    <w:bookmarkStart w:id="28" w:name="assumptions-exclusions"/>
    <w:p>
      <w:pPr>
        <w:pStyle w:val="Heading2"/>
      </w:pPr>
      <w:r>
        <w:t xml:space="preserve">5. Assumptions &amp; Exclusions</w:t>
      </w:r>
    </w:p>
    <w:p>
      <w:pPr>
        <w:pStyle w:val="FirstParagraph"/>
      </w:pPr>
      <w:r>
        <w:t xml:space="preserve">This Quotation Estimate assumes that the Politician will provide timely access to all necessary campaign materials, policy documents, and personal availability for scheduled sessions. The following are excluded from this estimate: television and radio advertising airtime purchases, large-scale event venue rentals in Almaty, translation services beyond Kazakh and Russian, and any legal representation in court proceedings. Should the Politician require additional services beyond the scope defined herein, a supplementary Quotation Estimate shall be issued separately.</w:t>
      </w:r>
    </w:p>
    <w:bookmarkEnd w:id="28"/>
    <w:bookmarkStart w:id="29" w:name="terms-conditions"/>
    <w:p>
      <w:pPr>
        <w:pStyle w:val="Heading2"/>
      </w:pPr>
      <w:r>
        <w:t xml:space="preserve">6. Terms &amp; Conditions</w:t>
      </w:r>
    </w:p>
    <w:p>
      <w:pPr>
        <w:numPr>
          <w:ilvl w:val="0"/>
          <w:numId w:val="1003"/>
        </w:numPr>
        <w:pStyle w:val="Compact"/>
      </w:pPr>
      <w:r>
        <w:t xml:space="preserve">This Quotation Estimate is valid for thirty (30) calendar days from the date of issue. After the expiry date, all pricing is subject to revision.</w:t>
      </w:r>
    </w:p>
    <w:p>
      <w:pPr>
        <w:numPr>
          <w:ilvl w:val="0"/>
          <w:numId w:val="1003"/>
        </w:numPr>
        <w:pStyle w:val="Compact"/>
      </w:pPr>
      <w:r>
        <w:t xml:space="preserve">Services are to be performed exclusively within the administrative boundaries of Almaty, Kazakhstan, unless otherwise agreed in writing.</w:t>
      </w:r>
    </w:p>
    <w:p>
      <w:pPr>
        <w:numPr>
          <w:ilvl w:val="0"/>
          <w:numId w:val="1003"/>
        </w:numPr>
        <w:pStyle w:val="Compact"/>
      </w:pPr>
      <w:r>
        <w:t xml:space="preserve">The Politician grants the service provider a limited license to use their name, likeness, and campaign materials solely for the purpose of executing the services described in this document.</w:t>
      </w:r>
    </w:p>
    <w:p>
      <w:pPr>
        <w:numPr>
          <w:ilvl w:val="0"/>
          <w:numId w:val="1003"/>
        </w:numPr>
        <w:pStyle w:val="Compact"/>
      </w:pPr>
      <w:r>
        <w:t xml:space="preserve">Confidentiality: All strategic materials, polling data, and internal communications related to the Politician's campaign in Kazakhstan Almaty shall be treated as strictly confidential and shall not be disclosed to any third party without written consent.</w:t>
      </w:r>
    </w:p>
    <w:p>
      <w:pPr>
        <w:numPr>
          <w:ilvl w:val="0"/>
          <w:numId w:val="1003"/>
        </w:numPr>
        <w:pStyle w:val="Compact"/>
      </w:pPr>
      <w:r>
        <w:t xml:space="preserve">Either party may terminate this engagement with fourteen (14) days' written notice. In such an event, the Politician shall be liable for all services rendered up to the date of termination.</w:t>
      </w:r>
    </w:p>
    <w:p>
      <w:pPr>
        <w:numPr>
          <w:ilvl w:val="0"/>
          <w:numId w:val="1003"/>
        </w:numPr>
        <w:pStyle w:val="Compact"/>
      </w:pPr>
      <w:r>
        <w:t xml:space="preserve">This Quotation Estimate and the resulting contract shall be governed by the civil and commercial laws of the Republic of Kazakhstan. Any disputes shall be resolved through arbitration in Almaty.</w:t>
      </w:r>
    </w:p>
    <w:p>
      <w:pPr>
        <w:numPr>
          <w:ilvl w:val="0"/>
          <w:numId w:val="1003"/>
        </w:numPr>
        <w:pStyle w:val="Compact"/>
      </w:pPr>
      <w:r>
        <w:t xml:space="preserve">All deliverables shall be provided in both Kazakh and Russian languages to ensure full accessibility for the Politician's constituents in Kazakhstan Almaty.</w:t>
      </w:r>
    </w:p>
    <w:bookmarkEnd w:id="29"/>
    <w:bookmarkStart w:id="30" w:name="acceptance-authorization"/>
    <w:p>
      <w:pPr>
        <w:pStyle w:val="Heading2"/>
      </w:pPr>
      <w:r>
        <w:t xml:space="preserve">7. Acceptance &amp; Authorization</w:t>
      </w:r>
    </w:p>
    <w:p>
      <w:pPr>
        <w:pStyle w:val="FirstParagraph"/>
      </w:pPr>
      <w:r>
        <w:t xml:space="preserve">By signing below, both parties acknowledge that this Quotation Estimate accurately reflects the agreed-upon scope of political advisory services for the Politician in Kazakhstan Almaty and that all terms, conditions, and pricing have been reviewed and accepted.</w:t>
      </w:r>
    </w:p>
    <w:p>
      <w:pPr>
        <w:pStyle w:val="BodyText"/>
      </w:pPr>
      <w:r>
        <w:rPr>
          <w:bCs/>
          <w:b/>
        </w:rPr>
        <w:t xml:space="preserve">For: Eurasia Political Strategy Group LLP</w:t>
      </w:r>
      <w:r>
        <w:br/>
      </w:r>
      <w:r>
        <w:t xml:space="preserve">Authorized Representative</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The Politician (Client)</w:t>
      </w:r>
      <w:r>
        <w:br/>
      </w:r>
      <w:r>
        <w:t xml:space="preserve">Candidate, Almaty City Assembly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Quotation Estimate QE-ALM-2025-0472</w:t>
      </w:r>
      <w:r>
        <w:t xml:space="preserve"> </w:t>
      </w:r>
      <w:r>
        <w:t xml:space="preserve">| Eurasia Political Strategy Group LLP | Dostyk Avenue 104, Almaty, Kazakhstan</w:t>
      </w:r>
    </w:p>
    <w:p>
      <w:pPr>
        <w:pStyle w:val="BodyText"/>
      </w:pPr>
      <w:r>
        <w:t xml:space="preserve">This document is a formal Quotation Estimate issued for political advisory services in Kazakhstan Almaty. It does not constitute a binding contract until countersigned by both parties. All rights reserved. © 2025.</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Political Advisory Services - Almaty, Kazakhstan</dc:title>
  <dc:creator/>
  <dc:language>en</dc:language>
  <cp:keywords/>
  <dcterms:created xsi:type="dcterms:W3CDTF">2026-10-10T02:00:07Z</dcterms:created>
  <dcterms:modified xsi:type="dcterms:W3CDTF">2026-10-10T02:00:07Z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