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Politician</w:t>
      </w:r>
      <w:r>
        <w:t xml:space="preserve"> </w:t>
      </w:r>
      <w:r>
        <w:t xml:space="preserve">Advisory</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288406497a8aec51b2edda767df2422a06e0ae7"/>
    <w:p>
      <w:pPr>
        <w:pStyle w:val="Heading1"/>
      </w:pPr>
      <w:r>
        <w:t xml:space="preserve">Strategic Political Advisory Group Sdn. Bhd.</w:t>
      </w:r>
    </w:p>
    <w:p>
      <w:pPr>
        <w:pStyle w:val="FirstParagraph"/>
      </w:pPr>
      <w:r>
        <w:t xml:space="preserve">Level 28, Menara KL, Jalan Sultan Ismail</w:t>
      </w:r>
    </w:p>
    <w:p>
      <w:pPr>
        <w:pStyle w:val="BodyText"/>
      </w:pPr>
      <w:r>
        <w:t xml:space="preserve">50250 Kuala Lumpur, Malaysia</w:t>
      </w:r>
    </w:p>
    <w:p>
      <w:pPr>
        <w:pStyle w:val="BodyText"/>
      </w:pPr>
      <w:r>
        <w:t xml:space="preserve">Tel: +603-2181-4567 | Email: enquiries@spag.my</w:t>
      </w:r>
    </w:p>
    <w:p>
      <w:pPr>
        <w:pStyle w:val="BodyText"/>
      </w:pPr>
      <w:r>
        <w:t xml:space="preserve">Registration No: 201901045678 (K)</w:t>
      </w:r>
    </w:p>
    <w:bookmarkEnd w:id="20"/>
    <w:bookmarkStart w:id="21" w:name="quotation-estimate"/>
    <w:p>
      <w:pPr>
        <w:pStyle w:val="Heading2"/>
      </w:pPr>
      <w:r>
        <w:t xml:space="preserve">QUOTATION ESTIMATE</w:t>
      </w:r>
    </w:p>
    <w:p>
      <w:pPr>
        <w:pStyle w:val="FirstParagraph"/>
      </w:pPr>
      <w:r>
        <w:t xml:space="preserve">Ref: QE/2025/KL/0847</w:t>
      </w:r>
    </w:p>
    <w:p>
      <w:pPr>
        <w:pStyle w:val="BodyText"/>
      </w:pPr>
      <w:r>
        <w:t xml:space="preserve">Date: 15 June 2025</w:t>
      </w:r>
    </w:p>
    <w:p>
      <w:pPr>
        <w:pStyle w:val="BodyText"/>
      </w:pPr>
      <w:r>
        <w:t xml:space="preserve">Valid Until: 15 July 2025</w:t>
      </w:r>
    </w:p>
    <w:bookmarkEnd w:id="21"/>
    <w:p>
      <w:pPr>
        <w:pStyle w:val="BodyText"/>
      </w:pPr>
      <w:r>
        <w:t xml:space="preserve">1. PARTIES INVOLVED</w:t>
      </w:r>
    </w:p>
    <w:bookmarkStart w:id="22" w:name="prepared-for-client"/>
    <w:p>
      <w:pPr>
        <w:pStyle w:val="Heading3"/>
      </w:pPr>
      <w:r>
        <w:t xml:space="preserve">Prepared For (Client)</w:t>
      </w:r>
    </w:p>
    <w:p>
      <w:pPr>
        <w:pStyle w:val="FirstParagraph"/>
      </w:pPr>
      <w:r>
        <w:rPr>
          <w:bCs/>
          <w:b/>
        </w:rPr>
        <w:t xml:space="preserve">Hon. Tan Sri Ahmad bin Rashid</w:t>
      </w:r>
    </w:p>
    <w:p>
      <w:pPr>
        <w:pStyle w:val="BodyText"/>
      </w:pPr>
      <w:r>
        <w:t xml:space="preserve">Politician, Member of Parliament</w:t>
      </w:r>
    </w:p>
    <w:p>
      <w:pPr>
        <w:pStyle w:val="BodyText"/>
      </w:pPr>
      <w:r>
        <w:t xml:space="preserve">Constituency of Petaling Jaya</w:t>
      </w:r>
    </w:p>
    <w:p>
      <w:pPr>
        <w:pStyle w:val="BodyText"/>
      </w:pPr>
      <w:r>
        <w:t xml:space="preserve">Kuala Lumpur, Malaysia</w:t>
      </w:r>
    </w:p>
    <w:p>
      <w:pPr>
        <w:pStyle w:val="BodyText"/>
      </w:pPr>
      <w:r>
        <w:t xml:space="preserve">Email: ahmad.rashid@parlimen.gov.my</w:t>
      </w:r>
    </w:p>
    <w:bookmarkEnd w:id="22"/>
    <w:bookmarkStart w:id="23" w:name="prepared-by-provider"/>
    <w:p>
      <w:pPr>
        <w:pStyle w:val="Heading3"/>
      </w:pPr>
      <w:r>
        <w:t xml:space="preserve">Prepared By (Provider)</w:t>
      </w:r>
    </w:p>
    <w:p>
      <w:pPr>
        <w:pStyle w:val="FirstParagraph"/>
      </w:pPr>
      <w:r>
        <w:rPr>
          <w:bCs/>
          <w:b/>
        </w:rPr>
        <w:t xml:space="preserve">Strategic Political Advisory Group Sdn. Bhd.</w:t>
      </w:r>
    </w:p>
    <w:p>
      <w:pPr>
        <w:pStyle w:val="BodyText"/>
      </w:pPr>
      <w:r>
        <w:t xml:space="preserve">Principal Consultant: Dr. Nurul Aisyah binti Hassan</w:t>
      </w:r>
    </w:p>
    <w:p>
      <w:pPr>
        <w:pStyle w:val="BodyText"/>
      </w:pPr>
      <w:r>
        <w:t xml:space="preserve">Office: Level 28, Menara KL, Kuala Lumpur</w:t>
      </w:r>
    </w:p>
    <w:p>
      <w:pPr>
        <w:pStyle w:val="BodyText"/>
      </w:pPr>
      <w:r>
        <w:t xml:space="preserve">Malaysia</w:t>
      </w:r>
    </w:p>
    <w:p>
      <w:pPr>
        <w:pStyle w:val="BodyText"/>
      </w:pPr>
      <w:r>
        <w:t xml:space="preserve">Bank: Maybank | A/C: 5123-4567-8901</w:t>
      </w:r>
    </w:p>
    <w:bookmarkEnd w:id="23"/>
    <w:p>
      <w:pPr>
        <w:pStyle w:val="BodyText"/>
      </w:pPr>
      <w:r>
        <w:t xml:space="preserve">2. SCOPE OF SERVICES – POLITICIAN ADVISORY &amp; CAMPAIGN SUPPORT</w:t>
      </w:r>
    </w:p>
    <w:p>
      <w:pPr>
        <w:pStyle w:val="BodyText"/>
      </w:pPr>
      <w:r>
        <w:t xml:space="preserve">This Quotation Estimate is issued by Strategic Political Advisory Group Sdn. Bhd. to provide comprehensive professional services to the above-named Politician in connection with his public duties, constituency engagement, and upcoming electoral campaign activities within the Kuala Lumpur metropolitan area and the broader Malaysia region. The services outlined below are tailored specifically to the operational needs of a sitting Politician representing a federal constituency in the Malaysia Kuala Lumpur political landscape.</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(MYR)</w:t>
            </w:r>
          </w:p>
        </w:tc>
        <w:tc>
          <w:tcPr/>
          <w:p>
            <w:pPr>
              <w:pStyle w:val="Compact"/>
              <w:jc w:val="left"/>
            </w:pPr>
            <w:r>
              <w:t xml:space="preserve">Amount (MYR)</w:t>
            </w:r>
          </w:p>
        </w:tc>
      </w:tr>
      <w:tr>
        <w:tc>
          <w:tcPr/>
          <w:p>
            <w:pPr>
              <w:pStyle w:val="Compact"/>
              <w:jc w:val="left"/>
            </w:pPr>
            <w:r>
              <w:t xml:space="preserve">1</w:t>
            </w:r>
          </w:p>
        </w:tc>
        <w:tc>
          <w:tcPr/>
          <w:p>
            <w:pPr>
              <w:pStyle w:val="Compact"/>
              <w:jc w:val="left"/>
            </w:pPr>
            <w:r>
              <w:rPr>
                <w:bCs/>
                <w:b/>
              </w:rPr>
              <w:t xml:space="preserve">Political Strategy &amp; Policy Advisory</w:t>
            </w:r>
            <w:r>
              <w:t xml:space="preserve"> </w:t>
            </w:r>
            <w:r>
              <w:t xml:space="preserve">– Monthly strategic consultations for the Politician covering federal policy alignment, parliamentary agenda preparation, and legislative drafting support specific to the Malaysia Kuala Lumpur governance framework.</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rPr>
                <w:bCs/>
                <w:b/>
              </w:rPr>
              <w:t xml:space="preserve">Constituency Engagement Program Management</w:t>
            </w:r>
            <w:r>
              <w:t xml:space="preserve"> </w:t>
            </w:r>
            <w:r>
              <w:t xml:space="preserve">– Planning, coordination, and execution of quarterly town halls, community outreach events, and grassroots mobilisation activities for the Politician across Kuala Lumpur and surrounding Selangor districts.</w:t>
            </w:r>
          </w:p>
        </w:tc>
        <w:tc>
          <w:tcPr/>
          <w:p>
            <w:pPr>
              <w:pStyle w:val="Compact"/>
              <w:jc w:val="left"/>
            </w:pPr>
            <w:r>
              <w:t xml:space="preserve">4 events</w:t>
            </w:r>
          </w:p>
        </w:tc>
        <w:tc>
          <w:tcPr/>
          <w:p>
            <w:pPr>
              <w:pStyle w:val="Compact"/>
              <w:jc w:val="left"/>
            </w:pPr>
            <w:r>
              <w:t xml:space="preserve">35,000.00</w:t>
            </w:r>
          </w:p>
        </w:tc>
        <w:tc>
          <w:tcPr/>
          <w:p>
            <w:pPr>
              <w:pStyle w:val="Compact"/>
              <w:jc w:val="left"/>
            </w:pPr>
            <w:r>
              <w:t xml:space="preserve">140,000.00</w:t>
            </w:r>
          </w:p>
        </w:tc>
      </w:tr>
      <w:tr>
        <w:tc>
          <w:tcPr/>
          <w:p>
            <w:pPr>
              <w:pStyle w:val="Compact"/>
              <w:jc w:val="left"/>
            </w:pPr>
            <w:r>
              <w:t xml:space="preserve">3</w:t>
            </w:r>
          </w:p>
        </w:tc>
        <w:tc>
          <w:tcPr/>
          <w:p>
            <w:pPr>
              <w:pStyle w:val="Compact"/>
              <w:jc w:val="left"/>
            </w:pPr>
            <w:r>
              <w:rPr>
                <w:bCs/>
                <w:b/>
              </w:rPr>
              <w:t xml:space="preserve">Media &amp; Public Relations Management</w:t>
            </w:r>
            <w:r>
              <w:t xml:space="preserve"> </w:t>
            </w:r>
            <w:r>
              <w:t xml:space="preserve">– Ongoing media liaison, press release drafting, crisis communication protocols, and social media content strategy for the Politician's public image in Malaysia Kuala Lumpur and national media outlets.</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4</w:t>
            </w:r>
          </w:p>
        </w:tc>
        <w:tc>
          <w:tcPr/>
          <w:p>
            <w:pPr>
              <w:pStyle w:val="Compact"/>
              <w:jc w:val="left"/>
            </w:pPr>
            <w:r>
              <w:rPr>
                <w:bCs/>
                <w:b/>
              </w:rPr>
              <w:t xml:space="preserve">Election Campaign Planning &amp; Execution</w:t>
            </w:r>
            <w:r>
              <w:t xml:space="preserve"> </w:t>
            </w:r>
            <w:r>
              <w:t xml:space="preserve">– Full-spectrum campaign management including voter analytics, digital advertising, rally logistics, debate preparation, and ground operations for the Politician's re-election bid in the Malaysia Kuala Lumpur electoral district.</w:t>
            </w:r>
          </w:p>
        </w:tc>
        <w:tc>
          <w:tcPr/>
          <w:p>
            <w:pPr>
              <w:pStyle w:val="Compact"/>
              <w:jc w:val="left"/>
            </w:pPr>
            <w:r>
              <w:t xml:space="preserve">1 campaign cycle</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5</w:t>
            </w:r>
          </w:p>
        </w:tc>
        <w:tc>
          <w:tcPr/>
          <w:p>
            <w:pPr>
              <w:pStyle w:val="Compact"/>
              <w:jc w:val="left"/>
            </w:pPr>
            <w:r>
              <w:rPr>
                <w:bCs/>
                <w:b/>
              </w:rPr>
              <w:t xml:space="preserve">Legal &amp; Compliance Review</w:t>
            </w:r>
            <w:r>
              <w:t xml:space="preserve"> </w:t>
            </w:r>
            <w:r>
              <w:t xml:space="preserve">– Periodic review of the Politician's public financial disclosures, campaign expenditure compliance under Malaysian electoral law, and parliamentary code of conduct adherence.</w:t>
            </w:r>
          </w:p>
        </w:tc>
        <w:tc>
          <w:tcPr/>
          <w:p>
            <w:pPr>
              <w:pStyle w:val="Compact"/>
              <w:jc w:val="left"/>
            </w:pPr>
            <w:r>
              <w:t xml:space="preserve">Quarterly (4x)</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6</w:t>
            </w:r>
          </w:p>
        </w:tc>
        <w:tc>
          <w:tcPr/>
          <w:p>
            <w:pPr>
              <w:pStyle w:val="Compact"/>
              <w:jc w:val="left"/>
            </w:pPr>
            <w:r>
              <w:rPr>
                <w:bCs/>
                <w:b/>
              </w:rPr>
              <w:t xml:space="preserve">Research &amp; Data Analytics</w:t>
            </w:r>
            <w:r>
              <w:t xml:space="preserve"> </w:t>
            </w:r>
            <w:r>
              <w:t xml:space="preserve">– In-depth polling, demographic studies, and sentiment analysis of voter behaviour in the Malaysia Kuala Lumpur region to inform the Politician's policy positions and campaign messaging.</w:t>
            </w:r>
          </w:p>
        </w:tc>
        <w:tc>
          <w:tcPr/>
          <w:p>
            <w:pPr>
              <w:pStyle w:val="Compact"/>
              <w:jc w:val="left"/>
            </w:pPr>
            <w:r>
              <w:t xml:space="preserve">6 reports</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7</w:t>
            </w:r>
          </w:p>
        </w:tc>
        <w:tc>
          <w:tcPr/>
          <w:p>
            <w:pPr>
              <w:pStyle w:val="Compact"/>
              <w:jc w:val="left"/>
            </w:pPr>
            <w:r>
              <w:rPr>
                <w:bCs/>
                <w:b/>
              </w:rPr>
              <w:t xml:space="preserve">Staffing &amp; Coordination Support</w:t>
            </w:r>
            <w:r>
              <w:t xml:space="preserve"> </w:t>
            </w:r>
            <w:r>
              <w:t xml:space="preserve">– Provision of dedicated campaign coordinators, event managers, and administrative support personnel to assist the Politician's office in Kuala Lumpur on a full-time basis.</w:t>
            </w:r>
          </w:p>
        </w:tc>
        <w:tc>
          <w:tcPr/>
          <w:p>
            <w:pPr>
              <w:pStyle w:val="Compact"/>
              <w:jc w:val="left"/>
            </w:pPr>
            <w:r>
              <w:t xml:space="preserve">12 months</w:t>
            </w:r>
          </w:p>
        </w:tc>
        <w:tc>
          <w:tcPr/>
          <w:p>
            <w:pPr>
              <w:pStyle w:val="Compact"/>
              <w:jc w:val="left"/>
            </w:pPr>
            <w:r>
              <w:t xml:space="preserve">22,000.00</w:t>
            </w:r>
          </w:p>
        </w:tc>
        <w:tc>
          <w:tcPr/>
          <w:p>
            <w:pPr>
              <w:pStyle w:val="Compact"/>
              <w:jc w:val="left"/>
            </w:pPr>
            <w:r>
              <w:t xml:space="preserve">264,000.00</w:t>
            </w:r>
          </w:p>
        </w:tc>
      </w:tr>
      <w:tr>
        <w:tc>
          <w:tcPr/>
          <w:p>
            <w:pPr>
              <w:pStyle w:val="Compact"/>
              <w:jc w:val="left"/>
            </w:pPr>
            <w:r>
              <w:t xml:space="preserve">8</w:t>
            </w:r>
          </w:p>
        </w:tc>
        <w:tc>
          <w:tcPr/>
          <w:p>
            <w:pPr>
              <w:pStyle w:val="Compact"/>
              <w:jc w:val="left"/>
            </w:pPr>
            <w:r>
              <w:rPr>
                <w:bCs/>
                <w:b/>
              </w:rPr>
              <w:t xml:space="preserve">Travel &amp; Logistics (Malaysia-wide)</w:t>
            </w:r>
            <w:r>
              <w:t xml:space="preserve"> </w:t>
            </w:r>
            <w:r>
              <w:t xml:space="preserve">– Transportation, accommodation, and logistical support for the Politician's official visits to state assemblies, federal agencies, and community centres across Malaysia, with primary operations based in Kuala Lumpur.</w:t>
            </w:r>
          </w:p>
        </w:tc>
        <w:tc>
          <w:tcPr/>
          <w:p>
            <w:pPr>
              <w:pStyle w:val="Compact"/>
              <w:jc w:val="left"/>
            </w:pPr>
            <w:r>
              <w:t xml:space="preserve">As required</w:t>
            </w:r>
          </w:p>
        </w:tc>
        <w:tc>
          <w:tcPr/>
          <w:p>
            <w:pPr>
              <w:pStyle w:val="Compact"/>
              <w:jc w:val="left"/>
            </w:pPr>
            <w:r>
              <w:t xml:space="preserve">1.00</w:t>
            </w:r>
          </w:p>
        </w:tc>
        <w:tc>
          <w:tcPr/>
          <w:p>
            <w:pPr>
              <w:pStyle w:val="Compact"/>
              <w:jc w:val="left"/>
            </w:pPr>
            <w:r>
              <w:t xml:space="preserve">45,000.00</w:t>
            </w:r>
          </w:p>
        </w:tc>
      </w:tr>
      <w:tr>
        <w:tc>
          <w:tcPr>
            <w:gridSpan w:val="4"/>
          </w:tcPr>
          <w:p>
            <w:pPr>
              <w:pStyle w:val="Compact"/>
              <w:jc w:val="right"/>
            </w:pPr>
            <w:r>
              <w:t xml:space="preserve">Subtotal:</w:t>
            </w:r>
          </w:p>
        </w:tc>
        <w:tc>
          <w:tcPr/>
          <w:p>
            <w:pPr>
              <w:pStyle w:val="Compact"/>
              <w:jc w:val="left"/>
            </w:pPr>
            <w:r>
              <w:t xml:space="preserve">1,224,000.00</w:t>
            </w:r>
          </w:p>
        </w:tc>
      </w:tr>
      <w:tr>
        <w:tc>
          <w:tcPr>
            <w:gridSpan w:val="4"/>
          </w:tcPr>
          <w:p>
            <w:pPr>
              <w:pStyle w:val="Compact"/>
              <w:jc w:val="right"/>
            </w:pPr>
            <w:r>
              <w:t xml:space="preserve">Sales &amp; Service Tax (SST) @ 8%:</w:t>
            </w:r>
          </w:p>
        </w:tc>
        <w:tc>
          <w:tcPr/>
          <w:p>
            <w:pPr>
              <w:pStyle w:val="Compact"/>
              <w:jc w:val="left"/>
            </w:pPr>
            <w:r>
              <w:t xml:space="preserve">97,920.00</w:t>
            </w:r>
          </w:p>
        </w:tc>
      </w:tr>
      <w:tr>
        <w:tc>
          <w:tcPr>
            <w:gridSpan w:val="4"/>
          </w:tcPr>
          <w:p>
            <w:pPr>
              <w:pStyle w:val="Compact"/>
              <w:jc w:val="right"/>
            </w:pPr>
            <w:r>
              <w:t xml:space="preserve">GRAND TOTAL (MYR):</w:t>
            </w:r>
          </w:p>
        </w:tc>
        <w:tc>
          <w:tcPr/>
          <w:p>
            <w:pPr>
              <w:pStyle w:val="Compact"/>
              <w:jc w:val="left"/>
            </w:pPr>
            <w:r>
              <w:t xml:space="preserve">1,321,920.00</w:t>
            </w:r>
          </w:p>
        </w:tc>
      </w:tr>
    </w:tbl>
    <w:p>
      <w:pPr>
        <w:pStyle w:val="BodyText"/>
      </w:pPr>
      <w:r>
        <w:t xml:space="preserve">3.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Any acceptance beyond this period is subject to re-confirmation of rates by Strategic Political Advisory Group Sdn. Bhd.</w:t>
      </w:r>
    </w:p>
    <w:p>
      <w:pPr>
        <w:numPr>
          <w:ilvl w:val="0"/>
          <w:numId w:val="1001"/>
        </w:numPr>
        <w:pStyle w:val="Compact"/>
      </w:pPr>
      <w:r>
        <w:rPr>
          <w:bCs/>
          <w:b/>
        </w:rPr>
        <w:t xml:space="preserve">Payment Terms:</w:t>
      </w:r>
      <w:r>
        <w:t xml:space="preserve"> </w:t>
      </w:r>
      <w:r>
        <w:t xml:space="preserve">A non-refundable deposit of twenty-five percent (25%) of the Grand Total is due upon acceptance of this Quotation Estimate. The remaining balance shall be invoiced in monthly instalments over the service period, payable within fourteen (14) days of invoice date.</w:t>
      </w:r>
    </w:p>
    <w:p>
      <w:pPr>
        <w:numPr>
          <w:ilvl w:val="0"/>
          <w:numId w:val="1001"/>
        </w:numPr>
        <w:pStyle w:val="Compact"/>
      </w:pPr>
      <w:r>
        <w:rPr>
          <w:bCs/>
          <w:b/>
        </w:rPr>
        <w:t xml:space="preserve">Scope Changes:</w:t>
      </w:r>
      <w:r>
        <w:t xml:space="preserve"> </w:t>
      </w:r>
      <w:r>
        <w:t xml:space="preserve">Any additional services requested by the Politician beyond the scope defined herein shall be subject to a separate supplementary Quotation Estimate and written approval prior to commencement.</w:t>
      </w:r>
    </w:p>
    <w:p>
      <w:pPr>
        <w:numPr>
          <w:ilvl w:val="0"/>
          <w:numId w:val="1001"/>
        </w:numPr>
        <w:pStyle w:val="Compact"/>
      </w:pPr>
      <w:r>
        <w:rPr>
          <w:bCs/>
          <w:b/>
        </w:rPr>
        <w:t xml:space="preserve">Confidentiality:</w:t>
      </w:r>
      <w:r>
        <w:t xml:space="preserve"> </w:t>
      </w:r>
      <w:r>
        <w:t xml:space="preserve">All information, strategies, polling data, and communications related to the Politician's political activities in Malaysia Kuala Lumpur shall be treated as strictly confidential and shall not be disclosed to any third party without written consent.</w:t>
      </w:r>
    </w:p>
    <w:p>
      <w:pPr>
        <w:numPr>
          <w:ilvl w:val="0"/>
          <w:numId w:val="1001"/>
        </w:numPr>
        <w:pStyle w:val="Compact"/>
      </w:pPr>
      <w:r>
        <w:rPr>
          <w:bCs/>
          <w:b/>
        </w:rPr>
        <w:t xml:space="preserve">Compliance:</w:t>
      </w:r>
      <w:r>
        <w:t xml:space="preserve"> </w:t>
      </w:r>
      <w:r>
        <w:t xml:space="preserve">All services rendered shall comply with the Malaysian Election Act 1955, the Political Parties Registration Act 1958, and all applicable regulations of the Election Commission of Malaysia (SPR).</w:t>
      </w:r>
    </w:p>
    <w:p>
      <w:pPr>
        <w:numPr>
          <w:ilvl w:val="0"/>
          <w:numId w:val="1001"/>
        </w:numPr>
        <w:pStyle w:val="Compact"/>
      </w:pPr>
      <w:r>
        <w:rPr>
          <w:bCs/>
          <w:b/>
        </w:rPr>
        <w:t xml:space="preserve">Termination:</w:t>
      </w:r>
      <w:r>
        <w:t xml:space="preserve"> </w:t>
      </w:r>
      <w:r>
        <w:t xml:space="preserve">Either party may terminate this engagement with thirty (30) days written notice. In the event of early termination, fees for services already rendered shall remain payable.</w:t>
      </w:r>
    </w:p>
    <w:p>
      <w:pPr>
        <w:numPr>
          <w:ilvl w:val="0"/>
          <w:numId w:val="1001"/>
        </w:numPr>
        <w:pStyle w:val="Compact"/>
      </w:pPr>
      <w:r>
        <w:rPr>
          <w:bCs/>
          <w:b/>
        </w:rPr>
        <w:t xml:space="preserve">Governing Law:</w:t>
      </w:r>
      <w:r>
        <w:t xml:space="preserve"> </w:t>
      </w:r>
      <w:r>
        <w:t xml:space="preserve">This Quotation Estimate and any resulting contract shall be governed by and construed in accordance with the laws of Malaysia, with jurisdiction vested in the courts of Kuala Lumpur.</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government-imposed restrictions, or political emergencies in Malaysia.</w:t>
      </w:r>
    </w:p>
    <w:p>
      <w:pPr>
        <w:pStyle w:val="FirstParagraph"/>
      </w:pPr>
      <w:r>
        <w:t xml:space="preserve">4. ACCEPTANCE &amp; AUTHORIZATION</w:t>
      </w:r>
    </w:p>
    <w:p>
      <w:pPr>
        <w:pStyle w:val="BodyText"/>
      </w:pPr>
      <w:r>
        <w:t xml:space="preserve">By signing below, the Politician and the undersigned representative of Strategic Political Advisory Group Sdn. Bhd. acknowledge and agree to the terms, scope, and financial obligations set forth in this Quotation Estimate for the provision of political advisory and campaign support services in Malaysia Kuala Lumpur.</w:t>
      </w:r>
    </w:p>
    <w:p>
      <w:pPr>
        <w:pStyle w:val="BodyText"/>
      </w:pPr>
      <w:r>
        <w:rPr>
          <w:bCs/>
          <w:b/>
        </w:rPr>
        <w:t xml:space="preserve">For and on behalf of the Politician:</w:t>
      </w:r>
    </w:p>
    <w:p>
      <w:pPr>
        <w:pStyle w:val="BodyText"/>
      </w:pPr>
      <w:r>
        <w:t xml:space="preserve">Name: Hon. Tan Sri Ahmad bin Rashid</w:t>
      </w:r>
    </w:p>
    <w:p>
      <w:pPr>
        <w:pStyle w:val="BodyText"/>
      </w:pPr>
      <w:r>
        <w:t xml:space="preserve">Designation: Member of Parliament, Petaling Jaya</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Provider:</w:t>
      </w:r>
    </w:p>
    <w:p>
      <w:pPr>
        <w:pStyle w:val="BodyText"/>
      </w:pPr>
      <w:r>
        <w:t xml:space="preserve">Name: Dr. Nurul Aisyah binti Hassan</w:t>
      </w:r>
    </w:p>
    <w:p>
      <w:pPr>
        <w:pStyle w:val="BodyText"/>
      </w:pPr>
      <w:r>
        <w:t xml:space="preserve">Designation: Principal Consultant, SPAG Sdn. Bhd.</w:t>
      </w:r>
    </w:p>
    <w:p>
      <w:pPr>
        <w:pStyle w:val="BodyText"/>
      </w:pPr>
      <w:r>
        <w:t xml:space="preserve">Signature: ___________________________</w:t>
      </w:r>
    </w:p>
    <w:p>
      <w:pPr>
        <w:pStyle w:val="BodyText"/>
      </w:pPr>
      <w:r>
        <w:t xml:space="preserve">Date: ___________________________</w:t>
      </w:r>
    </w:p>
    <w:p>
      <w:pPr>
        <w:pStyle w:val="BodyText"/>
      </w:pPr>
      <w:r>
        <w:t xml:space="preserve">Strategic Political Advisory Group Sdn. Bhd. | Registration No: 201901045678 (K) | Kuala Lumpur, Malaysia</w:t>
      </w:r>
    </w:p>
    <w:p>
      <w:pPr>
        <w:pStyle w:val="BodyText"/>
      </w:pPr>
      <w:r>
        <w:t xml:space="preserve">This Quotation Estimate is a confidential document intended solely for the named Politician and authorized representatives. Unauthorized reproduction or distribution is prohibited.</w:t>
      </w:r>
    </w:p>
    <w:p>
      <w:pPr>
        <w:pStyle w:val="BodyText"/>
      </w:pPr>
      <w:r>
        <w:t xml:space="preserve">Page 1 of 1 | Document Ref: QE/2025/KL/0847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Politician Advisory Services - Malaysia Kuala Lumpur</dc:title>
  <dc:creator/>
  <dc:language>en</dc:language>
  <cp:keywords/>
  <dcterms:created xsi:type="dcterms:W3CDTF">2026-10-10T04:27:00Z</dcterms:created>
  <dcterms:modified xsi:type="dcterms:W3CDTF">2026-10-10T04:27:00Z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