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Political Advisory &amp; Campaign Services</w:t>
      </w:r>
    </w:p>
    <w:p>
      <w:pPr>
        <w:pStyle w:val="BodyText"/>
      </w:pPr>
      <w:r>
        <w:t xml:space="preserve">Serving the Politician Community in Myanmar Yangon</w:t>
      </w:r>
    </w:p>
    <w:bookmarkEnd w:id="20"/>
    <w:p>
      <w:pPr>
        <w:pStyle w:val="BodyText"/>
      </w:pPr>
      <w:r>
        <w:rPr>
          <w:bCs/>
          <w:b/>
        </w:rPr>
        <w:t xml:space="preserve">Quotation No.:</w:t>
      </w:r>
      <w:r>
        <w:t xml:space="preserve"> </w:t>
      </w:r>
      <w:r>
        <w:t xml:space="preserve">QTE-MYR-YGN-2025-0472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Golden Pagoda Political Consulting Co., Ltd.</w:t>
      </w:r>
      <w:r>
        <w:br/>
      </w:r>
      <w:r>
        <w:rPr>
          <w:bCs/>
          <w:b/>
        </w:rPr>
        <w:t xml:space="preserve">Address:</w:t>
      </w:r>
      <w:r>
        <w:t xml:space="preserve"> </w:t>
      </w:r>
      <w:r>
        <w:t xml:space="preserve">No. 42, Sule Pagoda Road, Kyauktada Township,</w:t>
      </w:r>
      <w:r>
        <w:br/>
      </w:r>
      <w:r>
        <w:t xml:space="preserve">Yangon, Myanmar 11111</w:t>
      </w:r>
      <w:r>
        <w:br/>
      </w:r>
      <w:r>
        <w:rPr>
          <w:bCs/>
          <w:b/>
        </w:rPr>
        <w:t xml:space="preserve">Tel:</w:t>
      </w:r>
      <w:r>
        <w:t xml:space="preserve"> </w:t>
      </w:r>
      <w:r>
        <w:t xml:space="preserve">+95-9-456-789-012</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U Thura Aung Myint (Honourable Politician, Yangon Regional Hluttaw)</w:t>
            </w:r>
          </w:p>
        </w:tc>
      </w:tr>
      <w:tr>
        <w:tc>
          <w:tcPr/>
          <w:p>
            <w:pPr>
              <w:pStyle w:val="Compact"/>
              <w:jc w:val="left"/>
            </w:pPr>
            <w:r>
              <w:rPr>
                <w:bCs/>
                <w:b/>
              </w:rPr>
              <w:t xml:space="preserve">Position:</w:t>
            </w:r>
          </w:p>
        </w:tc>
        <w:tc>
          <w:tcPr/>
          <w:p>
            <w:pPr>
              <w:pStyle w:val="Compact"/>
              <w:jc w:val="left"/>
            </w:pPr>
            <w:r>
              <w:t xml:space="preserve">Member of Parliament, Yangon Regional Hluttaw – Constituency 14</w:t>
            </w:r>
          </w:p>
        </w:tc>
      </w:tr>
      <w:tr>
        <w:tc>
          <w:tcPr/>
          <w:p>
            <w:pPr>
              <w:pStyle w:val="Compact"/>
              <w:jc w:val="left"/>
            </w:pPr>
            <w:r>
              <w:rPr>
                <w:bCs/>
                <w:b/>
              </w:rPr>
              <w:t xml:space="preserve">Office Address:</w:t>
            </w:r>
          </w:p>
        </w:tc>
        <w:tc>
          <w:tcPr/>
          <w:p>
            <w:pPr>
              <w:pStyle w:val="Compact"/>
              <w:jc w:val="left"/>
            </w:pPr>
            <w:r>
              <w:t xml:space="preserve">Parliamentary Office Building, 254 Bo Ayeyar Road, Insein Township, Yangon, Myanmar</w:t>
            </w:r>
          </w:p>
        </w:tc>
      </w:tr>
      <w:tr>
        <w:tc>
          <w:tcPr/>
          <w:p>
            <w:pPr>
              <w:pStyle w:val="Compact"/>
              <w:jc w:val="left"/>
            </w:pPr>
            <w:r>
              <w:rPr>
                <w:bCs/>
                <w:b/>
              </w:rPr>
              <w:t xml:space="preserve">Contact:</w:t>
            </w:r>
          </w:p>
        </w:tc>
        <w:tc>
          <w:tcPr/>
          <w:p>
            <w:pPr>
              <w:pStyle w:val="Compact"/>
              <w:jc w:val="left"/>
            </w:pPr>
            <w:r>
              <w:t xml:space="preserve">+95-9-789-123-456 | office.aym@yangonhluttaw.gov.mm</w:t>
            </w:r>
          </w:p>
        </w:tc>
      </w:tr>
    </w:tbl>
    <w:p>
      <w:pPr>
        <w:pStyle w:val="BodyText"/>
      </w:pPr>
      <w:r>
        <w:t xml:space="preserve">2. Scope of Services – Quotation Estimate for Politician Engagement</w:t>
      </w:r>
    </w:p>
    <w:p>
      <w:pPr>
        <w:pStyle w:val="BodyText"/>
      </w:pPr>
      <w:r>
        <w:t xml:space="preserve">This</w:t>
      </w:r>
      <w:r>
        <w:t xml:space="preserve"> </w:t>
      </w:r>
      <w:r>
        <w:t xml:space="preserve">Quotation Estimate</w:t>
      </w:r>
      <w:r>
        <w:t xml:space="preserve"> </w:t>
      </w:r>
      <w:r>
        <w:t xml:space="preserve">is prepared specifically for the Honourable</w:t>
      </w:r>
      <w:r>
        <w:t xml:space="preserve"> </w:t>
      </w:r>
      <w:r>
        <w:t xml:space="preserve">Politician</w:t>
      </w:r>
      <w:r>
        <w:t xml:space="preserve"> </w:t>
      </w:r>
      <w:r>
        <w:t xml:space="preserve">U Thura Aung Myint to support his legislative duties, public engagement, and upcoming electoral campaign activities within</w:t>
      </w:r>
      <w:r>
        <w:t xml:space="preserve"> </w:t>
      </w:r>
      <w:r>
        <w:t xml:space="preserve">Myanmar Yangon</w:t>
      </w:r>
      <w:r>
        <w:t xml:space="preserve">. The following itemized services represent a comprehensive package designed to meet the unique demands of political representation in the Yangon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(MMK)</w:t>
            </w:r>
          </w:p>
        </w:tc>
        <w:tc>
          <w:tcPr/>
          <w:p>
            <w:pPr>
              <w:pStyle w:val="Compact"/>
              <w:jc w:val="left"/>
            </w:pPr>
            <w:r>
              <w:t xml:space="preserve">Amount (MMK)</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Strategic Campaign Planning &amp; Advisory</w:t>
            </w:r>
            <w:r>
              <w:t xml:space="preserve"> </w:t>
            </w:r>
            <w:r>
              <w:t xml:space="preserve">– Full political strategy development for the Politician's re-election campaign in Yangon, including voter analysis, messaging frameworks, and constituency outreach plans tailored to Myanmar Yangon demographics.</w:t>
            </w:r>
          </w:p>
        </w:tc>
        <w:tc>
          <w:tcPr/>
          <w:p>
            <w:pPr>
              <w:pStyle w:val="Compact"/>
              <w:jc w:val="left"/>
            </w:pPr>
            <w:r>
              <w:t xml:space="preserve">3 months</w:t>
            </w:r>
          </w:p>
        </w:tc>
        <w:tc>
          <w:tcPr/>
          <w:p>
            <w:pPr>
              <w:pStyle w:val="Compact"/>
              <w:jc w:val="left"/>
            </w:pPr>
            <w:r>
              <w:t xml:space="preserve">4,500,000</w:t>
            </w:r>
          </w:p>
        </w:tc>
        <w:tc>
          <w:tcPr/>
          <w:p>
            <w:pPr>
              <w:pStyle w:val="Compact"/>
              <w:jc w:val="left"/>
            </w:pPr>
            <w:r>
              <w:t xml:space="preserve">13,500,000</w:t>
            </w:r>
          </w:p>
        </w:tc>
        <w:tc>
          <w:tcPr/>
          <w:p>
            <w:pPr>
              <w:pStyle w:val="Compact"/>
              <w:jc w:val="left"/>
            </w:pPr>
            <w:r>
              <w:t xml:space="preserve">Includes 12 advisory sessions</w:t>
            </w:r>
          </w:p>
        </w:tc>
      </w:tr>
      <w:tr>
        <w:tc>
          <w:tcPr/>
          <w:p>
            <w:pPr>
              <w:pStyle w:val="Compact"/>
              <w:jc w:val="left"/>
            </w:pPr>
            <w:r>
              <w:t xml:space="preserve">2</w:t>
            </w:r>
          </w:p>
        </w:tc>
        <w:tc>
          <w:tcPr/>
          <w:p>
            <w:pPr>
              <w:pStyle w:val="Compact"/>
              <w:jc w:val="left"/>
            </w:pPr>
            <w:r>
              <w:rPr>
                <w:bCs/>
                <w:b/>
              </w:rPr>
              <w:t xml:space="preserve">Public Speaking &amp; Rallies Management</w:t>
            </w:r>
            <w:r>
              <w:t xml:space="preserve"> </w:t>
            </w:r>
            <w:r>
              <w:t xml:space="preserve">– End-to-end coordination of 8 public rallies and town hall meetings across Yangon townships (Insein, Hlaing, Kamayut, Mingaladon, Dagon, East Dagon, North Okkalapa, South Okkalapa).</w:t>
            </w:r>
          </w:p>
        </w:tc>
        <w:tc>
          <w:tcPr/>
          <w:p>
            <w:pPr>
              <w:pStyle w:val="Compact"/>
              <w:jc w:val="left"/>
            </w:pPr>
            <w:r>
              <w:t xml:space="preserve">8 events</w:t>
            </w:r>
          </w:p>
        </w:tc>
        <w:tc>
          <w:tcPr/>
          <w:p>
            <w:pPr>
              <w:pStyle w:val="Compact"/>
              <w:jc w:val="left"/>
            </w:pPr>
            <w:r>
              <w:t xml:space="preserve">2,800,000</w:t>
            </w:r>
          </w:p>
        </w:tc>
        <w:tc>
          <w:tcPr/>
          <w:p>
            <w:pPr>
              <w:pStyle w:val="Compact"/>
              <w:jc w:val="left"/>
            </w:pPr>
            <w:r>
              <w:t xml:space="preserve">22,400,000</w:t>
            </w:r>
          </w:p>
        </w:tc>
        <w:tc>
          <w:tcPr/>
          <w:p>
            <w:pPr>
              <w:pStyle w:val="Compact"/>
              <w:jc w:val="left"/>
            </w:pPr>
            <w:r>
              <w:t xml:space="preserve">Venue, sound, security, logistics</w:t>
            </w:r>
          </w:p>
        </w:tc>
      </w:tr>
      <w:tr>
        <w:tc>
          <w:tcPr/>
          <w:p>
            <w:pPr>
              <w:pStyle w:val="Compact"/>
              <w:jc w:val="left"/>
            </w:pPr>
            <w:r>
              <w:t xml:space="preserve">3</w:t>
            </w:r>
          </w:p>
        </w:tc>
        <w:tc>
          <w:tcPr/>
          <w:p>
            <w:pPr>
              <w:pStyle w:val="Compact"/>
              <w:jc w:val="left"/>
            </w:pPr>
            <w:r>
              <w:rPr>
                <w:bCs/>
                <w:b/>
              </w:rPr>
              <w:t xml:space="preserve">Media Relations &amp; Press Management</w:t>
            </w:r>
            <w:r>
              <w:t xml:space="preserve"> </w:t>
            </w:r>
            <w:r>
              <w:t xml:space="preserve">– Ongoing media strategy for the Politician, including press release drafting, media training, interview scheduling, and crisis communication protocols specific to Myanmar Yangon's media landscape.</w:t>
            </w:r>
          </w:p>
        </w:tc>
        <w:tc>
          <w:tcPr/>
          <w:p>
            <w:pPr>
              <w:pStyle w:val="Compact"/>
              <w:jc w:val="left"/>
            </w:pPr>
            <w:r>
              <w:t xml:space="preserve">6 months</w:t>
            </w:r>
          </w:p>
        </w:tc>
        <w:tc>
          <w:tcPr/>
          <w:p>
            <w:pPr>
              <w:pStyle w:val="Compact"/>
              <w:jc w:val="left"/>
            </w:pPr>
            <w:r>
              <w:t xml:space="preserve">3,200,000</w:t>
            </w:r>
          </w:p>
        </w:tc>
        <w:tc>
          <w:tcPr/>
          <w:p>
            <w:pPr>
              <w:pStyle w:val="Compact"/>
              <w:jc w:val="left"/>
            </w:pPr>
            <w:r>
              <w:t xml:space="preserve">19,200,000</w:t>
            </w:r>
          </w:p>
        </w:tc>
        <w:tc>
          <w:tcPr/>
          <w:p>
            <w:pPr>
              <w:pStyle w:val="Compact"/>
              <w:jc w:val="left"/>
            </w:pPr>
            <w:r>
              <w:t xml:space="preserve">Weekly reports included</w:t>
            </w:r>
          </w:p>
        </w:tc>
      </w:tr>
      <w:tr>
        <w:tc>
          <w:tcPr/>
          <w:p>
            <w:pPr>
              <w:pStyle w:val="Compact"/>
              <w:jc w:val="left"/>
            </w:pPr>
            <w:r>
              <w:t xml:space="preserve">4</w:t>
            </w:r>
          </w:p>
        </w:tc>
        <w:tc>
          <w:tcPr/>
          <w:p>
            <w:pPr>
              <w:pStyle w:val="Compact"/>
              <w:jc w:val="left"/>
            </w:pPr>
            <w:r>
              <w:rPr>
                <w:bCs/>
                <w:b/>
              </w:rPr>
              <w:t xml:space="preserve">Digital &amp; Social Media Campaign</w:t>
            </w:r>
            <w:r>
              <w:t xml:space="preserve"> </w:t>
            </w:r>
            <w:r>
              <w:t xml:space="preserve">– Management of the Politician's official social media channels (Facebook, Viber, Telegram) with content creation in Burmese and English, targeting Myanmar Yangon voters aged 18–65.</w:t>
            </w:r>
          </w:p>
        </w:tc>
        <w:tc>
          <w:tcPr/>
          <w:p>
            <w:pPr>
              <w:pStyle w:val="Compact"/>
              <w:jc w:val="left"/>
            </w:pPr>
            <w:r>
              <w:t xml:space="preserve">6 months</w:t>
            </w:r>
          </w:p>
        </w:tc>
        <w:tc>
          <w:tcPr/>
          <w:p>
            <w:pPr>
              <w:pStyle w:val="Compact"/>
              <w:jc w:val="left"/>
            </w:pPr>
            <w:r>
              <w:t xml:space="preserve">2,500,000</w:t>
            </w:r>
          </w:p>
        </w:tc>
        <w:tc>
          <w:tcPr/>
          <w:p>
            <w:pPr>
              <w:pStyle w:val="Compact"/>
              <w:jc w:val="left"/>
            </w:pPr>
            <w:r>
              <w:t xml:space="preserve">15,000,000</w:t>
            </w:r>
          </w:p>
        </w:tc>
        <w:tc>
          <w:tcPr/>
          <w:p>
            <w:pPr>
              <w:pStyle w:val="Compact"/>
              <w:jc w:val="left"/>
            </w:pPr>
            <w:r>
              <w:t xml:space="preserve">4 posts/week + 2 live streams/month</w:t>
            </w:r>
          </w:p>
        </w:tc>
      </w:tr>
      <w:tr>
        <w:tc>
          <w:tcPr/>
          <w:p>
            <w:pPr>
              <w:pStyle w:val="Compact"/>
              <w:jc w:val="left"/>
            </w:pPr>
            <w:r>
              <w:t xml:space="preserve">5</w:t>
            </w:r>
          </w:p>
        </w:tc>
        <w:tc>
          <w:tcPr/>
          <w:p>
            <w:pPr>
              <w:pStyle w:val="Compact"/>
              <w:jc w:val="left"/>
            </w:pPr>
            <w:r>
              <w:rPr>
                <w:bCs/>
                <w:b/>
              </w:rPr>
              <w:t xml:space="preserve">Policy Research &amp; Briefing Documents</w:t>
            </w:r>
            <w:r>
              <w:t xml:space="preserve"> </w:t>
            </w:r>
            <w:r>
              <w:t xml:space="preserve">– Preparation of 20 policy briefs on urban development, public transport, healthcare access, and economic reform relevant to Yangon's 5.5 million residents for the Politician's parliamentary submissions.</w:t>
            </w:r>
          </w:p>
        </w:tc>
        <w:tc>
          <w:tcPr/>
          <w:p>
            <w:pPr>
              <w:pStyle w:val="Compact"/>
              <w:jc w:val="left"/>
            </w:pPr>
            <w:r>
              <w:t xml:space="preserve">20 documents</w:t>
            </w:r>
          </w:p>
        </w:tc>
        <w:tc>
          <w:tcPr/>
          <w:p>
            <w:pPr>
              <w:pStyle w:val="Compact"/>
              <w:jc w:val="left"/>
            </w:pPr>
            <w:r>
              <w:t xml:space="preserve">850,000</w:t>
            </w:r>
          </w:p>
        </w:tc>
        <w:tc>
          <w:tcPr/>
          <w:p>
            <w:pPr>
              <w:pStyle w:val="Compact"/>
              <w:jc w:val="left"/>
            </w:pPr>
            <w:r>
              <w:t xml:space="preserve">17,000,000</w:t>
            </w:r>
          </w:p>
        </w:tc>
        <w:tc>
          <w:tcPr/>
          <w:p>
            <w:pPr>
              <w:pStyle w:val="Compact"/>
              <w:jc w:val="left"/>
            </w:pPr>
            <w:r>
              <w:t xml:space="preserve">Peer-reviewed, bilingual</w:t>
            </w:r>
          </w:p>
        </w:tc>
      </w:tr>
      <w:tr>
        <w:tc>
          <w:tcPr/>
          <w:p>
            <w:pPr>
              <w:pStyle w:val="Compact"/>
              <w:jc w:val="left"/>
            </w:pPr>
            <w:r>
              <w:t xml:space="preserve">6</w:t>
            </w:r>
          </w:p>
        </w:tc>
        <w:tc>
          <w:tcPr/>
          <w:p>
            <w:pPr>
              <w:pStyle w:val="Compact"/>
              <w:jc w:val="left"/>
            </w:pPr>
            <w:r>
              <w:rPr>
                <w:bCs/>
                <w:b/>
              </w:rPr>
              <w:t xml:space="preserve">Constituency Office Setup &amp; Operations</w:t>
            </w:r>
            <w:r>
              <w:t xml:space="preserve"> </w:t>
            </w:r>
            <w:r>
              <w:t xml:space="preserve">– Design, furnishing, and 12-month operational management of a satellite constituency office in Hlaing Township, Myanmar Yangon, including staff recruitment (4 personnel).</w:t>
            </w:r>
          </w:p>
        </w:tc>
        <w:tc>
          <w:tcPr/>
          <w:p>
            <w:pPr>
              <w:pStyle w:val="Compact"/>
              <w:jc w:val="left"/>
            </w:pPr>
            <w:r>
              <w:t xml:space="preserve">12 months</w:t>
            </w:r>
          </w:p>
        </w:tc>
        <w:tc>
          <w:tcPr/>
          <w:p>
            <w:pPr>
              <w:pStyle w:val="Compact"/>
              <w:jc w:val="left"/>
            </w:pPr>
            <w:r>
              <w:t xml:space="preserve">5,500,000</w:t>
            </w:r>
          </w:p>
        </w:tc>
        <w:tc>
          <w:tcPr/>
          <w:p>
            <w:pPr>
              <w:pStyle w:val="Compact"/>
              <w:jc w:val="left"/>
            </w:pPr>
            <w:r>
              <w:t xml:space="preserve">66,000,000</w:t>
            </w:r>
          </w:p>
        </w:tc>
        <w:tc>
          <w:tcPr/>
          <w:p>
            <w:pPr>
              <w:pStyle w:val="Compact"/>
              <w:jc w:val="left"/>
            </w:pPr>
            <w:r>
              <w:t xml:space="preserve">Lease, utilities, staff salaries</w:t>
            </w:r>
          </w:p>
        </w:tc>
      </w:tr>
      <w:tr>
        <w:tc>
          <w:tcPr/>
          <w:p>
            <w:pPr>
              <w:pStyle w:val="Compact"/>
              <w:jc w:val="left"/>
            </w:pPr>
            <w:r>
              <w:t xml:space="preserve">7</w:t>
            </w:r>
          </w:p>
        </w:tc>
        <w:tc>
          <w:tcPr/>
          <w:p>
            <w:pPr>
              <w:pStyle w:val="Compact"/>
              <w:jc w:val="left"/>
            </w:pPr>
            <w:r>
              <w:rPr>
                <w:bCs/>
                <w:b/>
              </w:rPr>
              <w:t xml:space="preserve">Community Engagement Program</w:t>
            </w:r>
            <w:r>
              <w:t xml:space="preserve"> </w:t>
            </w:r>
            <w:r>
              <w:t xml:space="preserve">– Organization of 24 ward-level community meetings, youth forums, and women's engagement sessions across 24 wards in Yangon to build grassroots support for the Politician.</w:t>
            </w:r>
          </w:p>
        </w:tc>
        <w:tc>
          <w:tcPr/>
          <w:p>
            <w:pPr>
              <w:pStyle w:val="Compact"/>
              <w:jc w:val="left"/>
            </w:pPr>
            <w:r>
              <w:t xml:space="preserve">24 sessions</w:t>
            </w:r>
          </w:p>
        </w:tc>
        <w:tc>
          <w:tcPr/>
          <w:p>
            <w:pPr>
              <w:pStyle w:val="Compact"/>
              <w:jc w:val="left"/>
            </w:pPr>
            <w:r>
              <w:t xml:space="preserve">600,000</w:t>
            </w:r>
          </w:p>
        </w:tc>
        <w:tc>
          <w:tcPr/>
          <w:p>
            <w:pPr>
              <w:pStyle w:val="Compact"/>
              <w:jc w:val="left"/>
            </w:pPr>
            <w:r>
              <w:t xml:space="preserve">14,400,000</w:t>
            </w:r>
          </w:p>
        </w:tc>
        <w:tc>
          <w:tcPr/>
          <w:p>
            <w:pPr>
              <w:pStyle w:val="Compact"/>
              <w:jc w:val="left"/>
            </w:pPr>
            <w:r>
              <w:t xml:space="preserve">Translation services included</w:t>
            </w:r>
          </w:p>
        </w:tc>
      </w:tr>
      <w:tr>
        <w:tc>
          <w:tcPr/>
          <w:p>
            <w:pPr>
              <w:pStyle w:val="Compact"/>
              <w:jc w:val="left"/>
            </w:pPr>
            <w:r>
              <w:t xml:space="preserve">8</w:t>
            </w:r>
          </w:p>
        </w:tc>
        <w:tc>
          <w:tcPr/>
          <w:p>
            <w:pPr>
              <w:pStyle w:val="Compact"/>
              <w:jc w:val="left"/>
            </w:pPr>
            <w:r>
              <w:rPr>
                <w:bCs/>
                <w:b/>
              </w:rPr>
              <w:t xml:space="preserve">Legal &amp; Electoral Compliance Advisory</w:t>
            </w:r>
            <w:r>
              <w:t xml:space="preserve"> </w:t>
            </w:r>
            <w:r>
              <w:t xml:space="preserve">– Retained legal counsel for all campaign activities, ensuring full compliance with Myanmar's Election Law and the Myanmar Election Commission regulations applicable in Yangon.</w:t>
            </w:r>
          </w:p>
        </w:tc>
        <w:tc>
          <w:tcPr/>
          <w:p>
            <w:pPr>
              <w:pStyle w:val="Compact"/>
              <w:jc w:val="left"/>
            </w:pPr>
            <w:r>
              <w:t xml:space="preserve">Retainer</w:t>
            </w:r>
          </w:p>
        </w:tc>
        <w:tc>
          <w:tcPr/>
          <w:p>
            <w:pPr>
              <w:pStyle w:val="Compact"/>
              <w:jc w:val="left"/>
            </w:pPr>
            <w:r>
              <w:t xml:space="preserve">1,800,000</w:t>
            </w:r>
          </w:p>
        </w:tc>
        <w:tc>
          <w:tcPr/>
          <w:p>
            <w:pPr>
              <w:pStyle w:val="Compact"/>
              <w:jc w:val="left"/>
            </w:pPr>
            <w:r>
              <w:t xml:space="preserve">10,800,000</w:t>
            </w:r>
          </w:p>
        </w:tc>
        <w:tc>
          <w:tcPr/>
          <w:p>
            <w:pPr>
              <w:pStyle w:val="Compact"/>
              <w:jc w:val="left"/>
            </w:pPr>
            <w:r>
              <w:t xml:space="preserve">6 months, 40 hrs/month</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(All Services)</w:t>
            </w:r>
          </w:p>
        </w:tc>
        <w:tc>
          <w:tcPr/>
          <w:p>
            <w:pPr>
              <w:pStyle w:val="Compact"/>
              <w:jc w:val="right"/>
            </w:pPr>
            <w:r>
              <w:rPr>
                <w:bCs/>
                <w:b/>
              </w:rPr>
              <w:t xml:space="preserve">178,300,000 MMK</w:t>
            </w:r>
          </w:p>
        </w:tc>
      </w:tr>
      <w:tr>
        <w:tc>
          <w:tcPr/>
          <w:p>
            <w:pPr>
              <w:pStyle w:val="Compact"/>
              <w:jc w:val="left"/>
            </w:pPr>
            <w:r>
              <w:rPr>
                <w:bCs/>
                <w:b/>
              </w:rPr>
              <w:t xml:space="preserve">Applicable Tax (5% VAT – Myanmar Revenue Law)</w:t>
            </w:r>
          </w:p>
        </w:tc>
        <w:tc>
          <w:tcPr/>
          <w:p>
            <w:pPr>
              <w:pStyle w:val="Compact"/>
              <w:jc w:val="right"/>
            </w:pPr>
            <w:r>
              <w:rPr>
                <w:bCs/>
                <w:b/>
              </w:rPr>
              <w:t xml:space="preserve">8,915,000 MMK</w:t>
            </w:r>
          </w:p>
        </w:tc>
      </w:tr>
      <w:tr>
        <w:tc>
          <w:tcPr/>
          <w:p>
            <w:pPr>
              <w:pStyle w:val="Compact"/>
              <w:jc w:val="left"/>
            </w:pPr>
            <w:r>
              <w:rPr>
                <w:bCs/>
                <w:b/>
              </w:rPr>
              <w:t xml:space="preserve">TOTAL QUOTATION ESTIMATE</w:t>
            </w:r>
          </w:p>
        </w:tc>
        <w:tc>
          <w:tcPr/>
          <w:p>
            <w:pPr>
              <w:pStyle w:val="Compact"/>
              <w:jc w:val="right"/>
            </w:pPr>
            <w:r>
              <w:rPr>
                <w:bCs/>
                <w:b/>
              </w:rPr>
              <w:t xml:space="preserve">187,215,000 MMK</w:t>
            </w:r>
          </w:p>
        </w:tc>
      </w:tr>
      <w:tr>
        <w:tc>
          <w:tcPr/>
          <w:p>
            <w:pPr>
              <w:pStyle w:val="Compact"/>
              <w:jc w:val="left"/>
            </w:pPr>
            <w:r>
              <w:rPr>
                <w:bCs/>
                <w:b/>
              </w:rPr>
              <w:t xml:space="preserve">Approximate USD Equivalent (at 2,100 MMK/USD)</w:t>
            </w:r>
          </w:p>
        </w:tc>
        <w:tc>
          <w:tcPr/>
          <w:p>
            <w:pPr>
              <w:pStyle w:val="Compact"/>
              <w:jc w:val="right"/>
            </w:pPr>
            <w:r>
              <w:rPr>
                <w:bCs/>
                <w:b/>
              </w:rPr>
              <w:t xml:space="preserve">USD 89,150.00</w:t>
            </w:r>
          </w:p>
        </w:tc>
      </w:tr>
    </w:tbl>
    <w:p>
      <w:pPr>
        <w:pStyle w:val="BodyText"/>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service inclusions are subject to revision based on prevailing market conditions in Myanmar Yangon.</w:t>
      </w:r>
    </w:p>
    <w:p>
      <w:pPr>
        <w:numPr>
          <w:ilvl w:val="0"/>
          <w:numId w:val="1001"/>
        </w:numPr>
        <w:pStyle w:val="Compact"/>
      </w:pPr>
      <w:r>
        <w:t xml:space="preserve">Payment shall be made in Myanmar Kyat (MMK) via bank transfer to Golden Pagoda Political Consulting Co., Ltd., CB Bank, Yangon Branch, Account No. 001-456789-012. Payment is due within fourteen (14) days of invoice issuance.</w:t>
      </w:r>
    </w:p>
    <w:p>
      <w:pPr>
        <w:numPr>
          <w:ilvl w:val="0"/>
          <w:numId w:val="1001"/>
        </w:numPr>
        <w:pStyle w:val="Compact"/>
      </w:pPr>
      <w:r>
        <w:t xml:space="preserve">A 30% advance payment is required upon acceptance of this Quotation Estimate to commence the Politician's campaign planning and advisory engagement. The remaining balance shall be invoiced in monthly installments aligned with the service delivery schedule.</w:t>
      </w:r>
    </w:p>
    <w:p>
      <w:pPr>
        <w:numPr>
          <w:ilvl w:val="0"/>
          <w:numId w:val="1001"/>
        </w:numPr>
        <w:pStyle w:val="Compact"/>
      </w:pPr>
      <w:r>
        <w:t xml:space="preserve">All services described herein are exclusively for the named Politician and his official political activities in Myanmar Yangon. No portion of this Quotation Estimate may be transferred or assigned to a third party without prior written consent.</w:t>
      </w:r>
    </w:p>
    <w:p>
      <w:pPr>
        <w:numPr>
          <w:ilvl w:val="0"/>
          <w:numId w:val="1001"/>
        </w:numPr>
        <w:pStyle w:val="Compact"/>
      </w:pPr>
      <w:r>
        <w:t xml:space="preserve">Golden Pagoda Political Consulting Co., Ltd. shall maintain strict confidentiality regarding all strategic plans, voter data, and internal communications of the Politician. A Non-Disclosure Agreement (NDA) shall be executed prior to commencement of services.</w:t>
      </w:r>
    </w:p>
    <w:p>
      <w:pPr>
        <w:numPr>
          <w:ilvl w:val="0"/>
          <w:numId w:val="1001"/>
        </w:numPr>
        <w:pStyle w:val="Compact"/>
      </w:pPr>
      <w:r>
        <w:t xml:space="preserve">Any changes to the scope of services, additional events, or extended timelines must be documented in a written Change Order signed by both parties. Adjustments to the Quotation Estimate total will be calculated pro-rata.</w:t>
      </w:r>
    </w:p>
    <w:p>
      <w:pPr>
        <w:numPr>
          <w:ilvl w:val="0"/>
          <w:numId w:val="1001"/>
        </w:numPr>
        <w:pStyle w:val="Compact"/>
      </w:pPr>
      <w:r>
        <w:t xml:space="preserve">This Quotation Estimate does not constitute a binding contract until formally accepted in writing by the Politician's authorized representative and countersigned by our Director of Operations.</w:t>
      </w:r>
    </w:p>
    <w:p>
      <w:pPr>
        <w:numPr>
          <w:ilvl w:val="0"/>
          <w:numId w:val="1001"/>
        </w:numPr>
        <w:pStyle w:val="Compact"/>
      </w:pPr>
      <w:r>
        <w:t xml:space="preserve">All services shall comply with the laws of the Republic of the Union of Myanmar, including but not limited to the Political Parties Law, the Election Law, and applicable regulations of the Myanmar Election Commission governing activities in Yangon.</w:t>
      </w:r>
    </w:p>
    <w:p>
      <w:pPr>
        <w:numPr>
          <w:ilvl w:val="0"/>
          <w:numId w:val="1001"/>
        </w:numPr>
        <w:pStyle w:val="Compact"/>
      </w:pPr>
      <w:r>
        <w:t xml:space="preserve">Force majeure events, including but not limited to natural disasters, government-imposed restrictions, or public health emergencies affecting Myanmar Yangon, shall suspend obligations under this Quotation Estimate without penalty to either party.</w:t>
      </w:r>
    </w:p>
    <w:p>
      <w:pPr>
        <w:numPr>
          <w:ilvl w:val="0"/>
          <w:numId w:val="1001"/>
        </w:numPr>
        <w:pStyle w:val="Compact"/>
      </w:pPr>
      <w:r>
        <w:t xml:space="preserve">Disputes arising from this Quotation Estimate shall be resolved through mediation in Yangon, Myanmar, in accordance with the Myanmar Arbitration Law. The courts of Yangon shall have exclusive jurisdiction.</w:t>
      </w:r>
    </w:p>
    <w:p>
      <w:pPr>
        <w:pStyle w:val="FirstParagraph"/>
      </w:pPr>
      <w:r>
        <w:t xml:space="preserve">5. Acceptance &amp; Authorization</w:t>
      </w:r>
    </w:p>
    <w:p>
      <w:pPr>
        <w:pStyle w:val="BodyText"/>
      </w:pPr>
      <w:r>
        <w:t xml:space="preserve">By signing below, the Politician's authorized representative confirms acceptance of this Quotation Estimate and authorizes Golden Pagoda Political Consulting Co., Ltd. to commence the services described herein in Myanmar Yangon.</w:t>
      </w:r>
    </w:p>
    <w:p>
      <w:pPr>
        <w:pStyle w:val="BodyText"/>
      </w:pPr>
      <w:r>
        <w:rPr>
          <w:bCs/>
          <w:b/>
        </w:rPr>
        <w:t xml:space="preserve">For the Politician (Client)</w:t>
      </w:r>
      <w:r>
        <w:br/>
      </w:r>
      <w:r>
        <w:t xml:space="preserve">Name: ______________________________</w:t>
      </w:r>
      <w:r>
        <w:br/>
      </w:r>
      <w:r>
        <w:t xml:space="preserve">Title: Authorized Representative</w:t>
      </w:r>
      <w:r>
        <w:br/>
      </w:r>
      <w:r>
        <w:t xml:space="preserve">Date: ______________________________</w:t>
      </w:r>
      <w:r>
        <w:br/>
      </w:r>
      <w:r>
        <w:t xml:space="preserve">Signature: ______________________________</w:t>
      </w:r>
    </w:p>
    <w:p>
      <w:pPr>
        <w:pStyle w:val="BodyText"/>
      </w:pPr>
      <w:r>
        <w:rPr>
          <w:bCs/>
          <w:b/>
        </w:rPr>
        <w:t xml:space="preserve">For Golden Pagoda Political Consulting Co., Ltd.</w:t>
      </w:r>
      <w:r>
        <w:br/>
      </w:r>
      <w:r>
        <w:t xml:space="preserve">Name: U Kyaw Zin Htet</w:t>
      </w:r>
      <w:r>
        <w:br/>
      </w:r>
      <w:r>
        <w:t xml:space="preserve">Title: Director of Operations</w:t>
      </w:r>
      <w:r>
        <w:br/>
      </w:r>
      <w:r>
        <w:t xml:space="preserve">Date: ______________________________</w:t>
      </w:r>
      <w:r>
        <w:br/>
      </w:r>
      <w:r>
        <w:t xml:space="preserve">Signature: ______________________________</w:t>
      </w:r>
    </w:p>
    <w:p>
      <w:pPr>
        <w:pStyle w:val="BodyText"/>
      </w:pPr>
      <w:r>
        <w:t xml:space="preserve">Golden Pagoda Political Consulting Co., Ltd. | No. 42 Sule Pagoda Road, Kyauktada Township, Yangon, Myanmar 11111</w:t>
      </w:r>
      <w:r>
        <w:br/>
      </w:r>
      <w:r>
        <w:t xml:space="preserve">Registration No. 201900456789 | TIN: 3-456789012 | This Quotation Estimate is the property of Golden Pagoda Political Consulting Co., Ltd. and is issued exclusively for the named Politician in Myanmar Yangon.</w:t>
      </w:r>
      <w:r>
        <w:br/>
      </w:r>
      <w:r>
        <w:t xml:space="preserve">Page 1 of 1 | Document Reference: QTE-MYR-YGN-2025-0472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Myanmar Yangon</dc:title>
  <dc:creator/>
  <dc:language>en</dc:language>
  <cp:keywords/>
  <dcterms:created xsi:type="dcterms:W3CDTF">2026-10-10T04:08:22Z</dcterms:created>
  <dcterms:modified xsi:type="dcterms:W3CDTF">2026-10-10T04:08:22Z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