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Political</w:t>
      </w:r>
      <w:r>
        <w:t xml:space="preserve"> </w:t>
      </w:r>
      <w:r>
        <w:t xml:space="preserve">Advisory</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quotation-estimate"/>
    <w:p>
      <w:pPr>
        <w:pStyle w:val="Heading1"/>
      </w:pPr>
      <w:r>
        <w:t xml:space="preserve">QUOTATION ESTIMATE</w:t>
      </w:r>
    </w:p>
    <w:p>
      <w:pPr>
        <w:pStyle w:val="FirstParagraph"/>
      </w:pPr>
      <w:r>
        <w:t xml:space="preserve">Political Advisory &amp; Strategic Consulting Services</w:t>
      </w:r>
    </w:p>
    <w:p>
      <w:pPr>
        <w:pStyle w:val="BodyText"/>
      </w:pPr>
      <w:r>
        <w:t xml:space="preserve">Document Reference: QE-RM-2025-0471 | Issued: 15 June 2025 | Valid Until: 15 September 2025</w:t>
      </w:r>
    </w:p>
    <w:bookmarkEnd w:id="20"/>
    <w:bookmarkStart w:id="21" w:name="provider-information"/>
    <w:p>
      <w:pPr>
        <w:pStyle w:val="Heading2"/>
      </w:pPr>
      <w:r>
        <w:t xml:space="preserve">1.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Capital Strategic Political Advisory Group</w:t>
            </w:r>
          </w:p>
        </w:tc>
        <w:tc>
          <w:tcPr/>
          <w:p>
            <w:pPr>
              <w:pStyle w:val="Compact"/>
              <w:jc w:val="left"/>
            </w:pPr>
            <w:r>
              <w:rPr>
                <w:bCs/>
                <w:b/>
              </w:rPr>
              <w:t xml:space="preserve">Registration No.:</w:t>
            </w:r>
            <w:r>
              <w:t xml:space="preserve"> </w:t>
            </w:r>
            <w:r>
              <w:t xml:space="preserve">7701234567890</w:t>
            </w:r>
          </w:p>
        </w:tc>
      </w:tr>
      <w:tr>
        <w:tc>
          <w:tcPr/>
          <w:p>
            <w:pPr>
              <w:pStyle w:val="Compact"/>
              <w:jc w:val="left"/>
            </w:pPr>
            <w:r>
              <w:rPr>
                <w:bCs/>
                <w:b/>
              </w:rPr>
              <w:t xml:space="preserve">Address:</w:t>
            </w:r>
            <w:r>
              <w:t xml:space="preserve"> </w:t>
            </w:r>
            <w:r>
              <w:t xml:space="preserve">12 Tverskaya Street, Building 4, Moscow, Russia, 125009</w:t>
            </w:r>
          </w:p>
        </w:tc>
        <w:tc>
          <w:tcPr/>
          <w:p>
            <w:pPr>
              <w:pStyle w:val="Compact"/>
              <w:jc w:val="left"/>
            </w:pPr>
            <w:r>
              <w:rPr>
                <w:bCs/>
                <w:b/>
              </w:rPr>
              <w:t xml:space="preserve">Tax ID (INN):</w:t>
            </w:r>
            <w:r>
              <w:t xml:space="preserve"> </w:t>
            </w:r>
            <w:r>
              <w:t xml:space="preserve">7710123456</w:t>
            </w:r>
          </w:p>
        </w:tc>
      </w:tr>
      <w:tr>
        <w:tc>
          <w:tcPr/>
          <w:p>
            <w:pPr>
              <w:pStyle w:val="Compact"/>
              <w:jc w:val="left"/>
            </w:pPr>
            <w:r>
              <w:rPr>
                <w:bCs/>
                <w:b/>
              </w:rPr>
              <w:t xml:space="preserve">Contact:</w:t>
            </w:r>
            <w:r>
              <w:t xml:space="preserve"> </w:t>
            </w:r>
            <w:r>
              <w:t xml:space="preserve">+7 (495) 123-4567</w:t>
            </w:r>
          </w:p>
        </w:tc>
        <w:tc>
          <w:tcPr/>
          <w:p>
            <w:pPr>
              <w:pStyle w:val="Compact"/>
              <w:jc w:val="left"/>
            </w:pPr>
            <w:r>
              <w:rPr>
                <w:bCs/>
                <w:b/>
              </w:rPr>
              <w:t xml:space="preserve">Email:</w:t>
            </w:r>
            <w:r>
              <w:t xml:space="preserve"> </w:t>
            </w:r>
            <w:r>
              <w:t xml:space="preserve">estimates@capitalstrategic.ru</w:t>
            </w:r>
          </w:p>
        </w:tc>
      </w:tr>
    </w:tbl>
    <w:bookmarkEnd w:id="21"/>
    <w:bookmarkStart w:id="22" w:name="client-recipient-information"/>
    <w:p>
      <w:pPr>
        <w:pStyle w:val="Heading2"/>
      </w:pPr>
      <w:r>
        <w:t xml:space="preserve">2. Client / Recipient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Hon. [Politician Name], Member of the State Duma</w:t>
            </w:r>
          </w:p>
        </w:tc>
        <w:tc>
          <w:tcPr/>
          <w:p>
            <w:pPr>
              <w:pStyle w:val="Compact"/>
              <w:jc w:val="left"/>
            </w:pPr>
            <w:r>
              <w:rPr>
                <w:bCs/>
                <w:b/>
              </w:rPr>
              <w:t xml:space="preserve">Client Reference:</w:t>
            </w:r>
            <w:r>
              <w:t xml:space="preserve"> </w:t>
            </w:r>
            <w:r>
              <w:t xml:space="preserve">CL-PM-2025-0089</w:t>
            </w:r>
          </w:p>
        </w:tc>
      </w:tr>
      <w:tr>
        <w:tc>
          <w:tcPr/>
          <w:p>
            <w:pPr>
              <w:pStyle w:val="Compact"/>
              <w:jc w:val="left"/>
            </w:pPr>
            <w:r>
              <w:rPr>
                <w:bCs/>
                <w:b/>
              </w:rPr>
              <w:t xml:space="preserve">Office Address:</w:t>
            </w:r>
            <w:r>
              <w:t xml:space="preserve"> </w:t>
            </w:r>
            <w:r>
              <w:t xml:space="preserve">1 Ostozhenka Street, Moscow, Russia, 103009</w:t>
            </w:r>
          </w:p>
        </w:tc>
        <w:tc>
          <w:tcPr/>
          <w:p>
            <w:pPr>
              <w:pStyle w:val="Compact"/>
              <w:jc w:val="left"/>
            </w:pPr>
            <w:r>
              <w:rPr>
                <w:bCs/>
                <w:b/>
              </w:rPr>
              <w:t xml:space="preserve">Position:</w:t>
            </w:r>
            <w:r>
              <w:t xml:space="preserve"> </w:t>
            </w:r>
            <w:r>
              <w:t xml:space="preserve">Federal Politician / Legislative Representative</w:t>
            </w:r>
          </w:p>
        </w:tc>
      </w:tr>
      <w:tr>
        <w:tc>
          <w:tcPr/>
          <w:p>
            <w:pPr>
              <w:pStyle w:val="Compact"/>
              <w:jc w:val="left"/>
            </w:pPr>
            <w:r>
              <w:rPr>
                <w:bCs/>
                <w:b/>
              </w:rPr>
              <w:t xml:space="preserve">Primary Jurisdiction:</w:t>
            </w:r>
            <w:r>
              <w:t xml:space="preserve"> </w:t>
            </w:r>
            <w:r>
              <w:t xml:space="preserve">Russia Moscow Federal District</w:t>
            </w:r>
          </w:p>
        </w:tc>
        <w:tc>
          <w:tcPr/>
          <w:p>
            <w:pPr>
              <w:pStyle w:val="Compact"/>
              <w:jc w:val="left"/>
            </w:pPr>
            <w:r>
              <w:rPr>
                <w:bCs/>
                <w:b/>
              </w:rPr>
              <w:t xml:space="preserve">Engagement Period:</w:t>
            </w:r>
            <w:r>
              <w:t xml:space="preserve"> </w:t>
            </w:r>
            <w:r>
              <w:t xml:space="preserve">1 July 2025 – 31 December 2025</w:t>
            </w:r>
          </w:p>
        </w:tc>
      </w:tr>
    </w:tbl>
    <w:bookmarkEnd w:id="22"/>
    <w:bookmarkStart w:id="23" w:name="X0c7581080508d578c26b6d8dfd726c7e3ca5cc9"/>
    <w:p>
      <w:pPr>
        <w:pStyle w:val="Heading2"/>
      </w:pPr>
      <w:r>
        <w:t xml:space="preserve">3. Purpose and Scope of This Quotation Estimate</w:t>
      </w:r>
    </w:p>
    <w:p>
      <w:pPr>
        <w:pStyle w:val="FirstParagraph"/>
      </w:pPr>
      <w:r>
        <w:t xml:space="preserve">This Quotation Estimate is issued by Capital Strategic Political Advisory Group to provide a comprehensive, itemized financial projection for the full spectrum of political advisory, strategic communication, and legislative support services to be rendered to the named Politician operating within the Russia Moscow federal jurisdiction. The Politician, in their capacity as a federal legislative representative, requires ongoing professional support in areas including but not limited to public policy drafting, constituent engagement strategy, media relations management, legislative scheduling coordination, and political image consulting.</w:t>
      </w:r>
    </w:p>
    <w:p>
      <w:pPr>
        <w:pStyle w:val="BodyText"/>
      </w:pPr>
      <w:r>
        <w:t xml:space="preserve">This Quotation Estimate reflects all costs associated with the engagement as scoped in the attached Statement of Work (SOW-2025-0471). All pricing is denominated in Russian Rubles (RUB) and is subject to the applicable Value Added Tax (VAT) rate of 20% as governed by the Tax Code of the Russian Federation. The Politician acknowledges that this Quotation Estimate constitutes a binding financial projection for the duration of the engagement period specified above, provided that no material changes to the scope of services are requested in writing by either party.</w:t>
      </w:r>
    </w:p>
    <w:bookmarkEnd w:id="23"/>
    <w:bookmarkStart w:id="24" w:name="itemized-services-and-cost-breakdown"/>
    <w:p>
      <w:pPr>
        <w:pStyle w:val="Heading2"/>
      </w:pPr>
      <w:r>
        <w:t xml:space="preserve">4.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Service Description</w:t>
            </w:r>
          </w:p>
        </w:tc>
        <w:tc>
          <w:tcPr/>
          <w:p>
            <w:pPr>
              <w:pStyle w:val="Compact"/>
              <w:jc w:val="center"/>
            </w:pPr>
            <w:r>
              <w:t xml:space="preserve">Qty</w:t>
            </w:r>
          </w:p>
        </w:tc>
        <w:tc>
          <w:tcPr/>
          <w:p>
            <w:pPr>
              <w:pStyle w:val="Compact"/>
              <w:jc w:val="right"/>
            </w:pPr>
            <w:r>
              <w:t xml:space="preserve">Unit Price (RUB)</w:t>
            </w:r>
          </w:p>
        </w:tc>
        <w:tc>
          <w:tcPr/>
          <w:p>
            <w:pPr>
              <w:pStyle w:val="Compact"/>
              <w:jc w:val="right"/>
            </w:pPr>
            <w:r>
              <w:t xml:space="preserve">Total (RUB)</w:t>
            </w:r>
          </w:p>
        </w:tc>
      </w:tr>
      <w:tr>
        <w:tc>
          <w:tcPr/>
          <w:p>
            <w:pPr>
              <w:pStyle w:val="Compact"/>
              <w:jc w:val="left"/>
            </w:pPr>
            <w:r>
              <w:t xml:space="preserve">1.1</w:t>
            </w:r>
          </w:p>
        </w:tc>
        <w:tc>
          <w:tcPr/>
          <w:p>
            <w:pPr>
              <w:pStyle w:val="Compact"/>
              <w:jc w:val="left"/>
            </w:pPr>
            <w:r>
              <w:t xml:space="preserve">Strategic Political Advisory for the Politician – Monthly retainer covering policy analysis, legislative briefing preparation, and Russia Moscow regional political intelligence reports</w:t>
            </w:r>
          </w:p>
        </w:tc>
        <w:tc>
          <w:tcPr/>
          <w:p>
            <w:pPr>
              <w:pStyle w:val="Compact"/>
              <w:jc w:val="center"/>
            </w:pPr>
            <w:r>
              <w:t xml:space="preserve">6</w:t>
            </w:r>
          </w:p>
        </w:tc>
        <w:tc>
          <w:tcPr/>
          <w:p>
            <w:pPr>
              <w:pStyle w:val="Compact"/>
              <w:jc w:val="right"/>
            </w:pPr>
            <w:r>
              <w:t xml:space="preserve">485,000</w:t>
            </w:r>
          </w:p>
        </w:tc>
        <w:tc>
          <w:tcPr/>
          <w:p>
            <w:pPr>
              <w:pStyle w:val="Compact"/>
              <w:jc w:val="right"/>
            </w:pPr>
            <w:r>
              <w:t xml:space="preserve">2,910,000</w:t>
            </w:r>
          </w:p>
        </w:tc>
      </w:tr>
      <w:tr>
        <w:tc>
          <w:tcPr/>
          <w:p>
            <w:pPr>
              <w:pStyle w:val="Compact"/>
              <w:jc w:val="left"/>
            </w:pPr>
            <w:r>
              <w:t xml:space="preserve">1.2</w:t>
            </w:r>
          </w:p>
        </w:tc>
        <w:tc>
          <w:tcPr/>
          <w:p>
            <w:pPr>
              <w:pStyle w:val="Compact"/>
              <w:jc w:val="left"/>
            </w:pPr>
            <w:r>
              <w:t xml:space="preserve">Constituent Engagement &amp; Public Outreach Planning – Design and execution of community town halls, voter registration drives, and public forums across the Russia Moscow electoral district</w:t>
            </w:r>
          </w:p>
        </w:tc>
        <w:tc>
          <w:tcPr/>
          <w:p>
            <w:pPr>
              <w:pStyle w:val="Compact"/>
              <w:jc w:val="center"/>
            </w:pPr>
            <w:r>
              <w:t xml:space="preserve">12</w:t>
            </w:r>
          </w:p>
        </w:tc>
        <w:tc>
          <w:tcPr/>
          <w:p>
            <w:pPr>
              <w:pStyle w:val="Compact"/>
              <w:jc w:val="right"/>
            </w:pPr>
            <w:r>
              <w:t xml:space="preserve">195,000</w:t>
            </w:r>
          </w:p>
        </w:tc>
        <w:tc>
          <w:tcPr/>
          <w:p>
            <w:pPr>
              <w:pStyle w:val="Compact"/>
              <w:jc w:val="right"/>
            </w:pPr>
            <w:r>
              <w:t xml:space="preserve">2,340,000</w:t>
            </w:r>
          </w:p>
        </w:tc>
      </w:tr>
      <w:tr>
        <w:tc>
          <w:tcPr/>
          <w:p>
            <w:pPr>
              <w:pStyle w:val="Compact"/>
              <w:jc w:val="left"/>
            </w:pPr>
            <w:r>
              <w:t xml:space="preserve">1.3</w:t>
            </w:r>
          </w:p>
        </w:tc>
        <w:tc>
          <w:tcPr/>
          <w:p>
            <w:pPr>
              <w:pStyle w:val="Compact"/>
              <w:jc w:val="left"/>
            </w:pPr>
            <w:r>
              <w:t xml:space="preserve">Media Relations &amp; Political Communications Management – Press release drafting, media training for the Politician, crisis communication protocols, and coordination with federal and regional press offices in Russia Moscow</w:t>
            </w:r>
          </w:p>
        </w:tc>
        <w:tc>
          <w:tcPr/>
          <w:p>
            <w:pPr>
              <w:pStyle w:val="Compact"/>
              <w:jc w:val="center"/>
            </w:pPr>
            <w:r>
              <w:t xml:space="preserve">6</w:t>
            </w:r>
          </w:p>
        </w:tc>
        <w:tc>
          <w:tcPr/>
          <w:p>
            <w:pPr>
              <w:pStyle w:val="Compact"/>
              <w:jc w:val="right"/>
            </w:pPr>
            <w:r>
              <w:t xml:space="preserve">320,000</w:t>
            </w:r>
          </w:p>
        </w:tc>
        <w:tc>
          <w:tcPr/>
          <w:p>
            <w:pPr>
              <w:pStyle w:val="Compact"/>
              <w:jc w:val="right"/>
            </w:pPr>
            <w:r>
              <w:t xml:space="preserve">1,920,000</w:t>
            </w:r>
          </w:p>
        </w:tc>
      </w:tr>
      <w:tr>
        <w:tc>
          <w:tcPr/>
          <w:p>
            <w:pPr>
              <w:pStyle w:val="Compact"/>
              <w:jc w:val="left"/>
            </w:pPr>
            <w:r>
              <w:t xml:space="preserve">1.4</w:t>
            </w:r>
          </w:p>
        </w:tc>
        <w:tc>
          <w:tcPr/>
          <w:p>
            <w:pPr>
              <w:pStyle w:val="Compact"/>
              <w:jc w:val="left"/>
            </w:pPr>
            <w:r>
              <w:t xml:space="preserve">Legislative Drafting &amp; Policy Research – Preparation of bills, amendments, and policy white papers aligned with the Politician's legislative agenda and the strategic priorities of the Russia Moscow federal government</w:t>
            </w:r>
          </w:p>
        </w:tc>
        <w:tc>
          <w:tcPr/>
          <w:p>
            <w:pPr>
              <w:pStyle w:val="Compact"/>
              <w:jc w:val="center"/>
            </w:pPr>
            <w:r>
              <w:t xml:space="preserve">24</w:t>
            </w:r>
          </w:p>
        </w:tc>
        <w:tc>
          <w:tcPr/>
          <w:p>
            <w:pPr>
              <w:pStyle w:val="Compact"/>
              <w:jc w:val="right"/>
            </w:pPr>
            <w:r>
              <w:t xml:space="preserve">85,000</w:t>
            </w:r>
          </w:p>
        </w:tc>
        <w:tc>
          <w:tcPr/>
          <w:p>
            <w:pPr>
              <w:pStyle w:val="Compact"/>
              <w:jc w:val="right"/>
            </w:pPr>
            <w:r>
              <w:t xml:space="preserve">2,040,000</w:t>
            </w:r>
          </w:p>
        </w:tc>
      </w:tr>
      <w:tr>
        <w:tc>
          <w:tcPr/>
          <w:p>
            <w:pPr>
              <w:pStyle w:val="Compact"/>
              <w:jc w:val="left"/>
            </w:pPr>
            <w:r>
              <w:t xml:space="preserve">1.5</w:t>
            </w:r>
          </w:p>
        </w:tc>
        <w:tc>
          <w:tcPr/>
          <w:p>
            <w:pPr>
              <w:pStyle w:val="Compact"/>
              <w:jc w:val="left"/>
            </w:pPr>
            <w:r>
              <w:t xml:space="preserve">Political Image Consulting &amp; Digital Presence Management – Branding strategy, social media content calendar, video production for the Politician's public platform, and digital reputation monitoring across Russian-language platforms</w:t>
            </w:r>
          </w:p>
        </w:tc>
        <w:tc>
          <w:tcPr/>
          <w:p>
            <w:pPr>
              <w:pStyle w:val="Compact"/>
              <w:jc w:val="center"/>
            </w:pPr>
            <w:r>
              <w:t xml:space="preserve">6</w:t>
            </w:r>
          </w:p>
        </w:tc>
        <w:tc>
          <w:tcPr/>
          <w:p>
            <w:pPr>
              <w:pStyle w:val="Compact"/>
              <w:jc w:val="right"/>
            </w:pPr>
            <w:r>
              <w:t xml:space="preserve">275,000</w:t>
            </w:r>
          </w:p>
        </w:tc>
        <w:tc>
          <w:tcPr/>
          <w:p>
            <w:pPr>
              <w:pStyle w:val="Compact"/>
              <w:jc w:val="right"/>
            </w:pPr>
            <w:r>
              <w:t xml:space="preserve">1,650,000</w:t>
            </w:r>
          </w:p>
        </w:tc>
      </w:tr>
      <w:tr>
        <w:tc>
          <w:tcPr/>
          <w:p>
            <w:pPr>
              <w:pStyle w:val="Compact"/>
              <w:jc w:val="left"/>
            </w:pPr>
            <w:r>
              <w:t xml:space="preserve">1.6</w:t>
            </w:r>
          </w:p>
        </w:tc>
        <w:tc>
          <w:tcPr/>
          <w:p>
            <w:pPr>
              <w:pStyle w:val="Compact"/>
              <w:jc w:val="left"/>
            </w:pPr>
            <w:r>
              <w:t xml:space="preserve">Event Logistics &amp; Protocol Coordination – Scheduling, venue management, security liaison, and protocol compliance for all official engagements of the Politician within the Russia Moscow administrative boundary</w:t>
            </w:r>
          </w:p>
        </w:tc>
        <w:tc>
          <w:tcPr/>
          <w:p>
            <w:pPr>
              <w:pStyle w:val="Compact"/>
              <w:jc w:val="center"/>
            </w:pPr>
            <w:r>
              <w:t xml:space="preserve">18</w:t>
            </w:r>
          </w:p>
        </w:tc>
        <w:tc>
          <w:tcPr/>
          <w:p>
            <w:pPr>
              <w:pStyle w:val="Compact"/>
              <w:jc w:val="right"/>
            </w:pPr>
            <w:r>
              <w:t xml:space="preserve">65,000</w:t>
            </w:r>
          </w:p>
        </w:tc>
        <w:tc>
          <w:tcPr/>
          <w:p>
            <w:pPr>
              <w:pStyle w:val="Compact"/>
              <w:jc w:val="right"/>
            </w:pPr>
            <w:r>
              <w:t xml:space="preserve">1,170,000</w:t>
            </w:r>
          </w:p>
        </w:tc>
      </w:tr>
      <w:tr>
        <w:tc>
          <w:tcPr/>
          <w:p>
            <w:pPr>
              <w:pStyle w:val="Compact"/>
              <w:jc w:val="left"/>
            </w:pPr>
            <w:r>
              <w:t xml:space="preserve">1.7</w:t>
            </w:r>
          </w:p>
        </w:tc>
        <w:tc>
          <w:tcPr/>
          <w:p>
            <w:pPr>
              <w:pStyle w:val="Compact"/>
              <w:jc w:val="left"/>
            </w:pPr>
            <w:r>
              <w:t xml:space="preserve">Legal &amp; Compliance Review – Ongoing legal counsel ensuring all political activities of the Politician comply with the Federal Law on Political Parties, election codes, and anti-corruption regulations applicable in Russia Moscow</w:t>
            </w:r>
          </w:p>
        </w:tc>
        <w:tc>
          <w:tcPr/>
          <w:p>
            <w:pPr>
              <w:pStyle w:val="Compact"/>
              <w:jc w:val="center"/>
            </w:pPr>
            <w:r>
              <w:t xml:space="preserve">6</w:t>
            </w:r>
          </w:p>
        </w:tc>
        <w:tc>
          <w:tcPr/>
          <w:p>
            <w:pPr>
              <w:pStyle w:val="Compact"/>
              <w:jc w:val="right"/>
            </w:pPr>
            <w:r>
              <w:t xml:space="preserve">150,000</w:t>
            </w:r>
          </w:p>
        </w:tc>
        <w:tc>
          <w:tcPr/>
          <w:p>
            <w:pPr>
              <w:pStyle w:val="Compact"/>
              <w:jc w:val="right"/>
            </w:pPr>
            <w:r>
              <w:t xml:space="preserve">900,000</w:t>
            </w:r>
          </w:p>
        </w:tc>
      </w:tr>
    </w:tbl>
    <w:bookmarkEnd w:id="24"/>
    <w:bookmarkStart w:id="25" w:name="financial-summary"/>
    <w:p>
      <w:pPr>
        <w:pStyle w:val="Heading2"/>
      </w:pPr>
      <w:r>
        <w:t xml:space="preserve">5.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Services)</w:t>
            </w:r>
          </w:p>
        </w:tc>
        <w:tc>
          <w:tcPr/>
          <w:p>
            <w:pPr>
              <w:pStyle w:val="Compact"/>
              <w:jc w:val="right"/>
            </w:pPr>
            <w:r>
              <w:t xml:space="preserve">12,930,000 RUB</w:t>
            </w:r>
          </w:p>
        </w:tc>
      </w:tr>
      <w:tr>
        <w:tc>
          <w:tcPr/>
          <w:p>
            <w:pPr>
              <w:pStyle w:val="Compact"/>
              <w:jc w:val="left"/>
            </w:pPr>
            <w:r>
              <w:t xml:space="preserve">VAT (20%)</w:t>
            </w:r>
          </w:p>
        </w:tc>
        <w:tc>
          <w:tcPr/>
          <w:p>
            <w:pPr>
              <w:pStyle w:val="Compact"/>
              <w:jc w:val="right"/>
            </w:pPr>
            <w:r>
              <w:t xml:space="preserve">2,586,000 RUB</w:t>
            </w:r>
          </w:p>
        </w:tc>
      </w:tr>
      <w:tr>
        <w:tc>
          <w:tcPr/>
          <w:p>
            <w:pPr>
              <w:pStyle w:val="Compact"/>
              <w:jc w:val="left"/>
            </w:pPr>
            <w:r>
              <w:t xml:space="preserve">Grand Total</w:t>
            </w:r>
          </w:p>
        </w:tc>
        <w:tc>
          <w:tcPr/>
          <w:p>
            <w:pPr>
              <w:pStyle w:val="Compact"/>
              <w:jc w:val="right"/>
            </w:pPr>
            <w:r>
              <w:t xml:space="preserve">15,516,000 RUB</w:t>
            </w:r>
          </w:p>
        </w:tc>
      </w:tr>
      <w:tr>
        <w:tc>
          <w:tcPr/>
          <w:p>
            <w:pPr>
              <w:pStyle w:val="Compact"/>
              <w:jc w:val="left"/>
            </w:pPr>
            <w:r>
              <w:t xml:space="preserve">In words: Fifteen Million Five Hundred and Sixteen Thousand Russian Rubles only.</w:t>
            </w:r>
          </w:p>
        </w:tc>
        <w:tc>
          <w:tcPr/>
          <w:p>
            <w:pPr>
              <w:pStyle w:val="Compact"/>
            </w:pPr>
          </w:p>
        </w:tc>
      </w:tr>
    </w:tbl>
    <w:bookmarkEnd w:id="25"/>
    <w:bookmarkStart w:id="26" w:name="payment-terms-and-schedule"/>
    <w:p>
      <w:pPr>
        <w:pStyle w:val="Heading2"/>
      </w:pPr>
      <w:r>
        <w:t xml:space="preserve">6. Payment Terms and Schedule</w:t>
      </w:r>
    </w:p>
    <w:p>
      <w:pPr>
        <w:numPr>
          <w:ilvl w:val="0"/>
          <w:numId w:val="1001"/>
        </w:numPr>
        <w:pStyle w:val="Compact"/>
      </w:pPr>
      <w:r>
        <w:rPr>
          <w:bCs/>
          <w:b/>
        </w:rPr>
        <w:t xml:space="preserve">Advance Payment:</w:t>
      </w:r>
      <w:r>
        <w:t xml:space="preserve"> </w:t>
      </w:r>
      <w:r>
        <w:t xml:space="preserve">30% of the total Quotation Estimate value (4,654,800 RUB) due within 10 business days of acceptance of this document.</w:t>
      </w:r>
    </w:p>
    <w:p>
      <w:pPr>
        <w:numPr>
          <w:ilvl w:val="0"/>
          <w:numId w:val="1001"/>
        </w:numPr>
        <w:pStyle w:val="Compact"/>
      </w:pPr>
      <w:r>
        <w:rPr>
          <w:bCs/>
          <w:b/>
        </w:rPr>
        <w:t xml:space="preserve">Progress Payments:</w:t>
      </w:r>
      <w:r>
        <w:t xml:space="preserve"> </w:t>
      </w:r>
      <w:r>
        <w:t xml:space="preserve">50% of the total value (7,758,000 RUB) payable in two equal semi-annual installments (31 August 2025 and 31 October 2025).</w:t>
      </w:r>
    </w:p>
    <w:p>
      <w:pPr>
        <w:numPr>
          <w:ilvl w:val="0"/>
          <w:numId w:val="1001"/>
        </w:numPr>
        <w:pStyle w:val="Compact"/>
      </w:pPr>
      <w:r>
        <w:rPr>
          <w:bCs/>
          <w:b/>
        </w:rPr>
        <w:t xml:space="preserve">Final Settlement:</w:t>
      </w:r>
      <w:r>
        <w:t xml:space="preserve"> </w:t>
      </w:r>
      <w:r>
        <w:t xml:space="preserve">Remaining 20% (3,103,200 RUB) due by 15 January 2026, contingent upon satisfactory completion of all deliverables outlined in the Statement of Work.</w:t>
      </w:r>
    </w:p>
    <w:p>
      <w:pPr>
        <w:numPr>
          <w:ilvl w:val="0"/>
          <w:numId w:val="1001"/>
        </w:numPr>
        <w:pStyle w:val="Compact"/>
      </w:pPr>
      <w:r>
        <w:t xml:space="preserve">All payments shall be made via bank transfer to the account of Capital Strategic Political Advisory Group, Sberbank, Moscow Branch, Account No. 40702810XXXXXXXX, BIC: 044525225.</w:t>
      </w:r>
    </w:p>
    <w:bookmarkEnd w:id="26"/>
    <w:bookmarkStart w:id="27" w:name="terms-conditions-and-governing-law"/>
    <w:p>
      <w:pPr>
        <w:pStyle w:val="Heading2"/>
      </w:pPr>
      <w:r>
        <w:t xml:space="preserve">7. Terms, Conditions, and Governing Law</w:t>
      </w:r>
    </w:p>
    <w:p>
      <w:pPr>
        <w:numPr>
          <w:ilvl w:val="0"/>
          <w:numId w:val="1002"/>
        </w:numPr>
        <w:pStyle w:val="Compact"/>
      </w:pPr>
      <w:r>
        <w:t xml:space="preserve">This Quotation Estimate is valid for a period of ninety (90) calendar days from the date of issue. Beyond this period, all pricing is subject to revision based on prevailing economic conditions in Russia Moscow.</w:t>
      </w:r>
    </w:p>
    <w:p>
      <w:pPr>
        <w:numPr>
          <w:ilvl w:val="0"/>
          <w:numId w:val="1002"/>
        </w:numPr>
        <w:pStyle w:val="Compact"/>
      </w:pPr>
      <w:r>
        <w:t xml:space="preserve">The Politician agrees that all intellectual property, research outputs, strategic documents, and communication materials produced under this engagement shall remain the exclusive property of the Politician upon full payment.</w:t>
      </w:r>
    </w:p>
    <w:p>
      <w:pPr>
        <w:numPr>
          <w:ilvl w:val="0"/>
          <w:numId w:val="1002"/>
        </w:numPr>
        <w:pStyle w:val="Compact"/>
      </w:pPr>
      <w:r>
        <w:t xml:space="preserve">Confidentiality obligations under the Federal Law on Personal Data (No. 152-FZ) and the Federal Law on State Secrets shall apply to all information exchanged between the parties throughout the engagement.</w:t>
      </w:r>
    </w:p>
    <w:p>
      <w:pPr>
        <w:numPr>
          <w:ilvl w:val="0"/>
          <w:numId w:val="1002"/>
        </w:numPr>
        <w:pStyle w:val="Compact"/>
      </w:pPr>
      <w:r>
        <w:t xml:space="preserve">This Quotation Estimate and the resulting contract shall be governed by and construed in accordance with the Civil Code of the Russian Federation. Any disputes shall be resolved through arbitration at the Moscow Arbitration Court.</w:t>
      </w:r>
    </w:p>
    <w:p>
      <w:pPr>
        <w:numPr>
          <w:ilvl w:val="0"/>
          <w:numId w:val="1002"/>
        </w:numPr>
        <w:pStyle w:val="Compact"/>
      </w:pPr>
      <w:r>
        <w:t xml:space="preserve">Neither party may assign its obligations under this Quotation Estimate without the prior written consent of the other party.</w:t>
      </w:r>
    </w:p>
    <w:p>
      <w:pPr>
        <w:numPr>
          <w:ilvl w:val="0"/>
          <w:numId w:val="1002"/>
        </w:numPr>
        <w:pStyle w:val="Compact"/>
      </w:pPr>
      <w:r>
        <w:t xml:space="preserve">Force majeure events, including but not limited to government-mandated restrictions, shall suspend performance obligations without penalty for a period not exceeding sixty (60) days.</w:t>
      </w:r>
    </w:p>
    <w:bookmarkEnd w:id="27"/>
    <w:bookmarkStart w:id="28" w:name="acceptance-and-authorization"/>
    <w:p>
      <w:pPr>
        <w:pStyle w:val="Heading2"/>
      </w:pPr>
      <w:r>
        <w:t xml:space="preserve">8. Acceptance and Authorization</w:t>
      </w:r>
    </w:p>
    <w:p>
      <w:pPr>
        <w:pStyle w:val="FirstParagraph"/>
      </w:pPr>
      <w:r>
        <w:t xml:space="preserve">By signing below, the Politician and the undersigned representative of Capital Strategic Political Advisory Group confirm that this Quotation Estimate has been reviewed, understood, and accepted in its entirety. The Politician acknowledges that the services described herein are tailored specifically to their role as a federal legislative representative operating within the Russia Moscow jurisdiction and that the financial projections contained in this document represent a good-faith estimate of the total cost of engagement.</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the Politician (Client):</w:t>
            </w:r>
          </w:p>
          <w:p>
            <w:pPr>
              <w:jc w:val="left"/>
            </w:pPr>
            <w:r>
              <w:t xml:space="preserve">Signature: ___________________________</w:t>
            </w:r>
          </w:p>
          <w:p>
            <w:pPr>
              <w:jc w:val="left"/>
            </w:pPr>
            <w:r>
              <w:t xml:space="preserve">Name: Hon. [Politician Name]</w:t>
            </w:r>
          </w:p>
          <w:p>
            <w:pPr>
              <w:jc w:val="left"/>
            </w:pPr>
            <w:r>
              <w:t xml:space="preserve">Title: Member of the State Duma, Russia Moscow</w:t>
            </w:r>
          </w:p>
          <w:p>
            <w:pPr>
              <w:jc w:val="left"/>
            </w:pPr>
            <w:r>
              <w:t xml:space="preserve">Date: ___________________________</w:t>
            </w:r>
          </w:p>
        </w:tc>
        <w:tc>
          <w:tcPr/>
          <w:p>
            <w:pPr>
              <w:jc w:val="left"/>
            </w:pPr>
            <w:r>
              <w:rPr>
                <w:bCs/>
                <w:b/>
              </w:rPr>
              <w:t xml:space="preserve">For Capital Strategic Political Advisory Group (Provider):</w:t>
            </w:r>
          </w:p>
          <w:p>
            <w:pPr>
              <w:jc w:val="left"/>
            </w:pPr>
            <w:r>
              <w:t xml:space="preserve">Signature: ___________________________</w:t>
            </w:r>
          </w:p>
          <w:p>
            <w:pPr>
              <w:jc w:val="left"/>
            </w:pPr>
            <w:r>
              <w:t xml:space="preserve">Name: [Authorized Representative Name]</w:t>
            </w:r>
          </w:p>
          <w:p>
            <w:pPr>
              <w:jc w:val="left"/>
            </w:pPr>
            <w:r>
              <w:t xml:space="preserve">Title: Director of Political Advisory Services</w:t>
            </w:r>
          </w:p>
          <w:p>
            <w:pPr>
              <w:jc w:val="left"/>
            </w:pPr>
            <w:r>
              <w:t xml:space="preserve">Date: ___________________________</w:t>
            </w:r>
          </w:p>
        </w:tc>
      </w:tr>
    </w:tbl>
    <w:bookmarkEnd w:id="28"/>
    <w:p>
      <w:pPr>
        <w:pStyle w:val="BodyText"/>
      </w:pPr>
      <w:r>
        <w:t xml:space="preserve">This Quotation Estimate (Ref: QE-RM-2025-0471) is a confidential commercial document prepared exclusively for the named Politician and Capital Strategic Political Advisory Group. Unauthorized reproduction or distribution of this document in whole or in part is strictly prohibited. All references to Russia Moscow pertain to the federal jurisdiction and administrative boundaries of the City of Moscow, Russian Federation. This Quotation Estimate does not constitute a final invoice and shall be superseded by the executed service agreement upon mutual acceptance.</w:t>
      </w:r>
    </w:p>
    <w:p>
      <w:pPr>
        <w:pStyle w:val="BodyText"/>
      </w:pPr>
      <w:r>
        <w:t xml:space="preserve">© 2025 Capital Strategic Political Advisory Group. All rights reserved. Moscow, Russia.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Political Advisory Services - Russia Moscow</dc:title>
  <dc:creator/>
  <dc:language>en</dc:language>
  <cp:keywords/>
  <dcterms:created xsi:type="dcterms:W3CDTF">2026-10-10T03:50:43Z</dcterms:created>
  <dcterms:modified xsi:type="dcterms:W3CDTF">2026-10-10T03:50:43Z</dcterms:modified>
</cp:coreProperties>
</file>

<file path=docProps/custom.xml><?xml version="1.0" encoding="utf-8"?>
<Properties xmlns="http://schemas.openxmlformats.org/officeDocument/2006/custom-properties" xmlns:vt="http://schemas.openxmlformats.org/officeDocument/2006/docPropsVTypes"/>
</file>