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Political Advisory &amp; Campaign Management Services</w:t>
      </w:r>
    </w:p>
    <w:p>
      <w:pPr>
        <w:pStyle w:val="BodyText"/>
      </w:pPr>
      <w:r>
        <w:t xml:space="preserve">Prepared for Operations in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QTE-RSP-2025-04782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Northwind Political Strategy Group, LLC</w:t>
            </w:r>
          </w:p>
        </w:tc>
      </w:tr>
      <w:tr>
        <w:tc>
          <w:tcPr/>
          <w:p>
            <w:pPr>
              <w:pStyle w:val="Compact"/>
              <w:jc w:val="left"/>
            </w:pPr>
            <w:r>
              <w:t xml:space="preserve">Address:</w:t>
            </w:r>
          </w:p>
        </w:tc>
        <w:tc>
          <w:tcPr/>
          <w:p>
            <w:pPr>
              <w:pStyle w:val="Compact"/>
              <w:jc w:val="left"/>
            </w:pPr>
            <w:r>
              <w:t xml:space="preserve">12 Nevsky Prospekt, Suite 407, Saint Petersburg, Russia 191025</w:t>
            </w:r>
          </w:p>
        </w:tc>
      </w:tr>
      <w:tr>
        <w:tc>
          <w:tcPr/>
          <w:p>
            <w:pPr>
              <w:pStyle w:val="Compact"/>
              <w:jc w:val="left"/>
            </w:pPr>
            <w:r>
              <w:t xml:space="preserve">Client / Beneficiary:</w:t>
            </w:r>
          </w:p>
        </w:tc>
        <w:tc>
          <w:tcPr/>
          <w:p>
            <w:pPr>
              <w:pStyle w:val="Compact"/>
              <w:jc w:val="left"/>
            </w:pPr>
            <w:r>
              <w:t xml:space="preserve">Hon. Dmitry A. Volkov, Candidate for Municipal Council, Russia Saint Petersburg</w:t>
            </w:r>
          </w:p>
        </w:tc>
      </w:tr>
      <w:tr>
        <w:tc>
          <w:tcPr/>
          <w:p>
            <w:pPr>
              <w:pStyle w:val="Compact"/>
              <w:jc w:val="left"/>
            </w:pPr>
            <w:r>
              <w:t xml:space="preserve">Client Address:</w:t>
            </w:r>
          </w:p>
        </w:tc>
        <w:tc>
          <w:tcPr/>
          <w:p>
            <w:pPr>
              <w:pStyle w:val="Compact"/>
              <w:jc w:val="left"/>
            </w:pPr>
            <w:r>
              <w:t xml:space="preserve">8 Fontanka Embankment, Saint Petersburg, Russia 190000</w:t>
            </w:r>
          </w:p>
        </w:tc>
      </w:tr>
      <w:tr>
        <w:tc>
          <w:tcPr/>
          <w:p>
            <w:pPr>
              <w:pStyle w:val="Compact"/>
              <w:jc w:val="left"/>
            </w:pPr>
            <w:r>
              <w:t xml:space="preserve">Currency:</w:t>
            </w:r>
          </w:p>
        </w:tc>
        <w:tc>
          <w:tcPr/>
          <w:p>
            <w:pPr>
              <w:pStyle w:val="Compact"/>
              <w:jc w:val="left"/>
            </w:pPr>
            <w:r>
              <w:t xml:space="preserve">Russian Ruble (RUB) / USD equivalent noted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Northwind Political Strategy Group, LLC to provide a comprehensive, itemized financial projection for the full suite of political advisory, strategic planning, and campaign management services to be rendered in support of Hon. Dmitry A. Volkov, a</w:t>
      </w:r>
      <w:r>
        <w:t xml:space="preserve"> </w:t>
      </w:r>
      <w:r>
        <w:t xml:space="preserve">Politician</w:t>
      </w:r>
      <w:r>
        <w:t xml:space="preserve"> </w:t>
      </w:r>
      <w:r>
        <w:t xml:space="preserve">and registered candidate for the Municipal Council of the Central District,</w:t>
      </w:r>
      <w:r>
        <w:t xml:space="preserve"> </w:t>
      </w:r>
      <w:r>
        <w:t xml:space="preserve">Russia Saint Petersburg</w:t>
      </w:r>
      <w:r>
        <w:t xml:space="preserve">. This document serves as a binding financial reference for all parties and outlines the estimated costs associated with each phase of the political engagement. All figures presented herein are estimates based on current market rates in Saint Petersburg and are subject to the terms and conditions detailed in Section 6 of this Quotation Estimate.</w:t>
      </w:r>
    </w:p>
    <w:p>
      <w:pPr>
        <w:pStyle w:val="BodyText"/>
      </w:pPr>
      <w:r>
        <w:t xml:space="preserve">The scope of services encompasses strategic political consulting, public relations management, voter outreach planning, media coordination, and compliance advisory tailored specifically to the regulatory environment governing political activity in Russia Saint Petersburg. The Politician named above has engaged this firm to deliver end-to-end campaign support for the upcoming municipal election cycle.</w:t>
      </w:r>
    </w:p>
    <w:bookmarkEnd w:id="21"/>
    <w:bookmarkStart w:id="22" w:name="itemized-services-and-estimated-costs"/>
    <w:p>
      <w:pPr>
        <w:pStyle w:val="Heading2"/>
      </w:pPr>
      <w:r>
        <w:t xml:space="preserve">2. Itemized Services and Estimated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Estimated Total (RUB)</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Political Strategy &amp; Campaign Planning for the Politician in Russia Saint Petersburg municipal elections</w:t>
            </w:r>
          </w:p>
        </w:tc>
        <w:tc>
          <w:tcPr/>
          <w:p>
            <w:pPr>
              <w:pStyle w:val="Compact"/>
              <w:jc w:val="left"/>
            </w:pPr>
            <w:r>
              <w:t xml:space="preserve">12 months</w:t>
            </w:r>
          </w:p>
        </w:tc>
        <w:tc>
          <w:tcPr/>
          <w:p>
            <w:pPr>
              <w:pStyle w:val="Compact"/>
              <w:jc w:val="left"/>
            </w:pPr>
            <w:r>
              <w:t xml:space="preserve">185,000 / mo</w:t>
            </w:r>
          </w:p>
        </w:tc>
        <w:tc>
          <w:tcPr/>
          <w:p>
            <w:pPr>
              <w:pStyle w:val="Compact"/>
              <w:jc w:val="left"/>
            </w:pPr>
            <w:r>
              <w:t xml:space="preserve">2,220,000</w:t>
            </w:r>
          </w:p>
        </w:tc>
        <w:tc>
          <w:tcPr/>
          <w:p>
            <w:pPr>
              <w:pStyle w:val="Compact"/>
              <w:jc w:val="left"/>
            </w:pPr>
            <w:r>
              <w:t xml:space="preserve">Includes bi-weekly strategy sessions</w:t>
            </w:r>
          </w:p>
        </w:tc>
      </w:tr>
      <w:tr>
        <w:tc>
          <w:tcPr/>
          <w:p>
            <w:pPr>
              <w:pStyle w:val="Compact"/>
              <w:jc w:val="left"/>
            </w:pPr>
            <w:r>
              <w:t xml:space="preserve">02</w:t>
            </w:r>
          </w:p>
        </w:tc>
        <w:tc>
          <w:tcPr/>
          <w:p>
            <w:pPr>
              <w:pStyle w:val="Compact"/>
              <w:jc w:val="left"/>
            </w:pPr>
            <w:r>
              <w:t xml:space="preserve">Voter Research &amp; Demographic Analysis specific to Saint Petersburg districts</w:t>
            </w:r>
          </w:p>
        </w:tc>
        <w:tc>
          <w:tcPr/>
          <w:p>
            <w:pPr>
              <w:pStyle w:val="Compact"/>
              <w:jc w:val="left"/>
            </w:pPr>
            <w:r>
              <w:t xml:space="preserve">3 phases</w:t>
            </w:r>
          </w:p>
        </w:tc>
        <w:tc>
          <w:tcPr/>
          <w:p>
            <w:pPr>
              <w:pStyle w:val="Compact"/>
              <w:jc w:val="left"/>
            </w:pPr>
            <w:r>
              <w:t xml:space="preserve">320,000 / phase</w:t>
            </w:r>
          </w:p>
        </w:tc>
        <w:tc>
          <w:tcPr/>
          <w:p>
            <w:pPr>
              <w:pStyle w:val="Compact"/>
              <w:jc w:val="left"/>
            </w:pPr>
            <w:r>
              <w:t xml:space="preserve">960,000</w:t>
            </w:r>
          </w:p>
        </w:tc>
        <w:tc>
          <w:tcPr/>
          <w:p>
            <w:pPr>
              <w:pStyle w:val="Compact"/>
              <w:jc w:val="left"/>
            </w:pPr>
            <w:r>
              <w:t xml:space="preserve">Field surveys, focus groups</w:t>
            </w:r>
          </w:p>
        </w:tc>
      </w:tr>
      <w:tr>
        <w:tc>
          <w:tcPr/>
          <w:p>
            <w:pPr>
              <w:pStyle w:val="Compact"/>
              <w:jc w:val="left"/>
            </w:pPr>
            <w:r>
              <w:t xml:space="preserve">03</w:t>
            </w:r>
          </w:p>
        </w:tc>
        <w:tc>
          <w:tcPr/>
          <w:p>
            <w:pPr>
              <w:pStyle w:val="Compact"/>
              <w:jc w:val="left"/>
            </w:pPr>
            <w:r>
              <w:t xml:space="preserve">Public Relations &amp; Media Relations Management for the Politician</w:t>
            </w:r>
          </w:p>
        </w:tc>
        <w:tc>
          <w:tcPr/>
          <w:p>
            <w:pPr>
              <w:pStyle w:val="Compact"/>
              <w:jc w:val="left"/>
            </w:pPr>
            <w:r>
              <w:t xml:space="preserve">12 months</w:t>
            </w:r>
          </w:p>
        </w:tc>
        <w:tc>
          <w:tcPr/>
          <w:p>
            <w:pPr>
              <w:pStyle w:val="Compact"/>
              <w:jc w:val="left"/>
            </w:pPr>
            <w:r>
              <w:t xml:space="preserve">145,000 / mo</w:t>
            </w:r>
          </w:p>
        </w:tc>
        <w:tc>
          <w:tcPr/>
          <w:p>
            <w:pPr>
              <w:pStyle w:val="Compact"/>
              <w:jc w:val="left"/>
            </w:pPr>
            <w:r>
              <w:t xml:space="preserve">1,740,000</w:t>
            </w:r>
          </w:p>
        </w:tc>
        <w:tc>
          <w:tcPr/>
          <w:p>
            <w:pPr>
              <w:pStyle w:val="Compact"/>
              <w:jc w:val="left"/>
            </w:pPr>
            <w:r>
              <w:t xml:space="preserve">Press releases, media briefings</w:t>
            </w:r>
          </w:p>
        </w:tc>
      </w:tr>
      <w:tr>
        <w:tc>
          <w:tcPr/>
          <w:p>
            <w:pPr>
              <w:pStyle w:val="Compact"/>
              <w:jc w:val="left"/>
            </w:pPr>
            <w:r>
              <w:t xml:space="preserve">04</w:t>
            </w:r>
          </w:p>
        </w:tc>
        <w:tc>
          <w:tcPr/>
          <w:p>
            <w:pPr>
              <w:pStyle w:val="Compact"/>
              <w:jc w:val="left"/>
            </w:pPr>
            <w:r>
              <w:t xml:space="preserve">Digital Campaign &amp; Social Media Management (Russia Saint Petersburg audience)</w:t>
            </w:r>
          </w:p>
        </w:tc>
        <w:tc>
          <w:tcPr/>
          <w:p>
            <w:pPr>
              <w:pStyle w:val="Compact"/>
              <w:jc w:val="left"/>
            </w:pPr>
            <w:r>
              <w:t xml:space="preserve">12 months</w:t>
            </w:r>
          </w:p>
        </w:tc>
        <w:tc>
          <w:tcPr/>
          <w:p>
            <w:pPr>
              <w:pStyle w:val="Compact"/>
              <w:jc w:val="left"/>
            </w:pPr>
            <w:r>
              <w:t xml:space="preserve">98,000 / mo</w:t>
            </w:r>
          </w:p>
        </w:tc>
        <w:tc>
          <w:tcPr/>
          <w:p>
            <w:pPr>
              <w:pStyle w:val="Compact"/>
              <w:jc w:val="left"/>
            </w:pPr>
            <w:r>
              <w:t xml:space="preserve">1,176,000</w:t>
            </w:r>
          </w:p>
        </w:tc>
        <w:tc>
          <w:tcPr/>
          <w:p>
            <w:pPr>
              <w:pStyle w:val="Compact"/>
              <w:jc w:val="left"/>
            </w:pPr>
            <w:r>
              <w:t xml:space="preserve">Content creation, ad management</w:t>
            </w:r>
          </w:p>
        </w:tc>
      </w:tr>
      <w:tr>
        <w:tc>
          <w:tcPr/>
          <w:p>
            <w:pPr>
              <w:pStyle w:val="Compact"/>
              <w:jc w:val="left"/>
            </w:pPr>
            <w:r>
              <w:t xml:space="preserve">05</w:t>
            </w:r>
          </w:p>
        </w:tc>
        <w:tc>
          <w:tcPr/>
          <w:p>
            <w:pPr>
              <w:pStyle w:val="Compact"/>
              <w:jc w:val="left"/>
            </w:pPr>
            <w:r>
              <w:t xml:space="preserve">Compliance &amp; Legal Advisory on Political Finance Regulations (Russia)</w:t>
            </w:r>
          </w:p>
        </w:tc>
        <w:tc>
          <w:tcPr/>
          <w:p>
            <w:pPr>
              <w:pStyle w:val="Compact"/>
              <w:jc w:val="left"/>
            </w:pPr>
            <w:r>
              <w:t xml:space="preserve">12 months</w:t>
            </w:r>
          </w:p>
        </w:tc>
        <w:tc>
          <w:tcPr/>
          <w:p>
            <w:pPr>
              <w:pStyle w:val="Compact"/>
              <w:jc w:val="left"/>
            </w:pPr>
            <w:r>
              <w:t xml:space="preserve">75,000 / mo</w:t>
            </w:r>
          </w:p>
        </w:tc>
        <w:tc>
          <w:tcPr/>
          <w:p>
            <w:pPr>
              <w:pStyle w:val="Compact"/>
              <w:jc w:val="left"/>
            </w:pPr>
            <w:r>
              <w:t xml:space="preserve">900,000</w:t>
            </w:r>
          </w:p>
        </w:tc>
        <w:tc>
          <w:tcPr/>
          <w:p>
            <w:pPr>
              <w:pStyle w:val="Compact"/>
              <w:jc w:val="left"/>
            </w:pPr>
            <w:r>
              <w:t xml:space="preserve">Regulatory filings, audit support</w:t>
            </w:r>
          </w:p>
        </w:tc>
      </w:tr>
      <w:tr>
        <w:tc>
          <w:tcPr/>
          <w:p>
            <w:pPr>
              <w:pStyle w:val="Compact"/>
              <w:jc w:val="left"/>
            </w:pPr>
            <w:r>
              <w:t xml:space="preserve">06</w:t>
            </w:r>
          </w:p>
        </w:tc>
        <w:tc>
          <w:tcPr/>
          <w:p>
            <w:pPr>
              <w:pStyle w:val="Compact"/>
              <w:jc w:val="left"/>
            </w:pPr>
            <w:r>
              <w:t xml:space="preserve">Rally &amp; Public Event Coordination in Saint Petersburg venues</w:t>
            </w:r>
          </w:p>
        </w:tc>
        <w:tc>
          <w:tcPr/>
          <w:p>
            <w:pPr>
              <w:pStyle w:val="Compact"/>
              <w:jc w:val="left"/>
            </w:pPr>
            <w:r>
              <w:t xml:space="preserve">18 events</w:t>
            </w:r>
          </w:p>
        </w:tc>
        <w:tc>
          <w:tcPr/>
          <w:p>
            <w:pPr>
              <w:pStyle w:val="Compact"/>
              <w:jc w:val="left"/>
            </w:pPr>
            <w:r>
              <w:t xml:space="preserve">85,000 / event</w:t>
            </w:r>
          </w:p>
        </w:tc>
        <w:tc>
          <w:tcPr/>
          <w:p>
            <w:pPr>
              <w:pStyle w:val="Compact"/>
              <w:jc w:val="left"/>
            </w:pPr>
            <w:r>
              <w:t xml:space="preserve">1,530,000</w:t>
            </w:r>
          </w:p>
        </w:tc>
        <w:tc>
          <w:tcPr/>
          <w:p>
            <w:pPr>
              <w:pStyle w:val="Compact"/>
              <w:jc w:val="left"/>
            </w:pPr>
            <w:r>
              <w:t xml:space="preserve">Logistics, permits, security</w:t>
            </w:r>
          </w:p>
        </w:tc>
      </w:tr>
      <w:tr>
        <w:tc>
          <w:tcPr/>
          <w:p>
            <w:pPr>
              <w:pStyle w:val="Compact"/>
              <w:jc w:val="left"/>
            </w:pPr>
            <w:r>
              <w:t xml:space="preserve">07</w:t>
            </w:r>
          </w:p>
        </w:tc>
        <w:tc>
          <w:tcPr/>
          <w:p>
            <w:pPr>
              <w:pStyle w:val="Compact"/>
              <w:jc w:val="left"/>
            </w:pPr>
            <w:r>
              <w:t xml:space="preserve">Debate Preparation &amp; Speechwriting for the Politician</w:t>
            </w:r>
          </w:p>
        </w:tc>
        <w:tc>
          <w:tcPr/>
          <w:p>
            <w:pPr>
              <w:pStyle w:val="Compact"/>
              <w:jc w:val="left"/>
            </w:pPr>
            <w:r>
              <w:t xml:space="preserve">24 sessions</w:t>
            </w:r>
          </w:p>
        </w:tc>
        <w:tc>
          <w:tcPr/>
          <w:p>
            <w:pPr>
              <w:pStyle w:val="Compact"/>
              <w:jc w:val="left"/>
            </w:pPr>
            <w:r>
              <w:t xml:space="preserve">42,000 / session</w:t>
            </w:r>
          </w:p>
        </w:tc>
        <w:tc>
          <w:tcPr/>
          <w:p>
            <w:pPr>
              <w:pStyle w:val="Compact"/>
              <w:jc w:val="left"/>
            </w:pPr>
            <w:r>
              <w:t xml:space="preserve">1,008,000</w:t>
            </w:r>
          </w:p>
        </w:tc>
        <w:tc>
          <w:tcPr/>
          <w:p>
            <w:pPr>
              <w:pStyle w:val="Compact"/>
              <w:jc w:val="left"/>
            </w:pPr>
            <w:r>
              <w:t xml:space="preserve">Includes mock debates</w:t>
            </w:r>
          </w:p>
        </w:tc>
      </w:tr>
      <w:tr>
        <w:tc>
          <w:tcPr/>
          <w:p>
            <w:pPr>
              <w:pStyle w:val="Compact"/>
              <w:jc w:val="left"/>
            </w:pPr>
            <w:r>
              <w:t xml:space="preserve">08</w:t>
            </w:r>
          </w:p>
        </w:tc>
        <w:tc>
          <w:tcPr/>
          <w:p>
            <w:pPr>
              <w:pStyle w:val="Compact"/>
              <w:jc w:val="left"/>
            </w:pPr>
            <w:r>
              <w:t xml:space="preserve">Volunteer Recruitment &amp; Training Program (Saint Petersburg)</w:t>
            </w:r>
          </w:p>
        </w:tc>
        <w:tc>
          <w:tcPr/>
          <w:p>
            <w:pPr>
              <w:pStyle w:val="Compact"/>
              <w:jc w:val="left"/>
            </w:pPr>
            <w:r>
              <w:t xml:space="preserve">12 months</w:t>
            </w:r>
          </w:p>
        </w:tc>
        <w:tc>
          <w:tcPr/>
          <w:p>
            <w:pPr>
              <w:pStyle w:val="Compact"/>
              <w:jc w:val="left"/>
            </w:pPr>
            <w:r>
              <w:t xml:space="preserve">65,000 / mo</w:t>
            </w:r>
          </w:p>
        </w:tc>
        <w:tc>
          <w:tcPr/>
          <w:p>
            <w:pPr>
              <w:pStyle w:val="Compact"/>
              <w:jc w:val="left"/>
            </w:pPr>
            <w:r>
              <w:t xml:space="preserve">780,000</w:t>
            </w:r>
          </w:p>
        </w:tc>
        <w:tc>
          <w:tcPr/>
          <w:p>
            <w:pPr>
              <w:pStyle w:val="Compact"/>
              <w:jc w:val="left"/>
            </w:pPr>
            <w:r>
              <w:t xml:space="preserve">Up to 200 volunteers</w:t>
            </w:r>
          </w:p>
        </w:tc>
      </w:tr>
      <w:tr>
        <w:tc>
          <w:tcPr/>
          <w:p>
            <w:pPr>
              <w:pStyle w:val="Compact"/>
              <w:jc w:val="left"/>
            </w:pPr>
            <w:r>
              <w:t xml:space="preserve">09</w:t>
            </w:r>
          </w:p>
        </w:tc>
        <w:tc>
          <w:tcPr/>
          <w:p>
            <w:pPr>
              <w:pStyle w:val="Compact"/>
              <w:jc w:val="left"/>
            </w:pPr>
            <w:r>
              <w:t xml:space="preserve">Post-Election Transition &amp; Governance Advisory for the Politician</w:t>
            </w:r>
          </w:p>
        </w:tc>
        <w:tc>
          <w:tcPr/>
          <w:p>
            <w:pPr>
              <w:pStyle w:val="Compact"/>
              <w:jc w:val="left"/>
            </w:pPr>
            <w:r>
              <w:t xml:space="preserve">6 months</w:t>
            </w:r>
          </w:p>
        </w:tc>
        <w:tc>
          <w:tcPr/>
          <w:p>
            <w:pPr>
              <w:pStyle w:val="Compact"/>
              <w:jc w:val="left"/>
            </w:pPr>
            <w:r>
              <w:t xml:space="preserve">110,000 / mo</w:t>
            </w:r>
          </w:p>
        </w:tc>
        <w:tc>
          <w:tcPr/>
          <w:p>
            <w:pPr>
              <w:pStyle w:val="Compact"/>
              <w:jc w:val="left"/>
            </w:pPr>
            <w:r>
              <w:t xml:space="preserve">660,000</w:t>
            </w:r>
          </w:p>
        </w:tc>
        <w:tc>
          <w:tcPr/>
          <w:p>
            <w:pPr>
              <w:pStyle w:val="Compact"/>
              <w:jc w:val="left"/>
            </w:pPr>
            <w:r>
              <w:t xml:space="preserve">Contingent on election outcome</w:t>
            </w:r>
          </w:p>
        </w:tc>
      </w:tr>
      <w:tr>
        <w:tc>
          <w:tcPr/>
          <w:p>
            <w:pPr>
              <w:pStyle w:val="Compact"/>
              <w:jc w:val="left"/>
            </w:pPr>
            <w:r>
              <w:t xml:space="preserve">10</w:t>
            </w:r>
          </w:p>
        </w:tc>
        <w:tc>
          <w:tcPr/>
          <w:p>
            <w:pPr>
              <w:pStyle w:val="Compact"/>
              <w:jc w:val="left"/>
            </w:pPr>
            <w:r>
              <w:t xml:space="preserve">Administrative Overhead &amp; Project Management</w:t>
            </w:r>
          </w:p>
        </w:tc>
        <w:tc>
          <w:tcPr/>
          <w:p>
            <w:pPr>
              <w:pStyle w:val="Compact"/>
              <w:jc w:val="left"/>
            </w:pPr>
            <w:r>
              <w:t xml:space="preserve">12 months</w:t>
            </w:r>
          </w:p>
        </w:tc>
        <w:tc>
          <w:tcPr/>
          <w:p>
            <w:pPr>
              <w:pStyle w:val="Compact"/>
              <w:jc w:val="left"/>
            </w:pPr>
            <w:r>
              <w:t xml:space="preserve">55,000 / mo</w:t>
            </w:r>
          </w:p>
        </w:tc>
        <w:tc>
          <w:tcPr/>
          <w:p>
            <w:pPr>
              <w:pStyle w:val="Compact"/>
              <w:jc w:val="left"/>
            </w:pPr>
            <w:r>
              <w:t xml:space="preserve">660,000</w:t>
            </w:r>
          </w:p>
        </w:tc>
        <w:tc>
          <w:tcPr/>
          <w:p>
            <w:pPr>
              <w:pStyle w:val="Compact"/>
              <w:jc w:val="left"/>
            </w:pPr>
            <w:r>
              <w:t xml:space="preserve">Office, travel within SPb</w:t>
            </w:r>
          </w:p>
        </w:tc>
      </w:tr>
      <w:tr>
        <w:tc>
          <w:tcPr>
            <w:gridSpan w:val="4"/>
          </w:tcPr>
          <w:p>
            <w:pPr>
              <w:pStyle w:val="Compact"/>
              <w:jc w:val="left"/>
            </w:pPr>
            <w:r>
              <w:t xml:space="preserve">TOTAL ESTIMATED COST (RUB)</w:t>
            </w:r>
          </w:p>
        </w:tc>
        <w:tc>
          <w:tcPr/>
          <w:p>
            <w:pPr>
              <w:pStyle w:val="Compact"/>
              <w:jc w:val="left"/>
            </w:pPr>
            <w:r>
              <w:t xml:space="preserve">11,634,000</w:t>
            </w:r>
          </w:p>
        </w:tc>
        <w:tc>
          <w:tcPr/>
          <w:p>
            <w:pPr>
              <w:pStyle w:val="Compact"/>
              <w:jc w:val="left"/>
            </w:pPr>
            <w:r>
              <w:t xml:space="preserve">≈ USD 124,800</w:t>
            </w:r>
          </w:p>
        </w:tc>
      </w:tr>
    </w:tbl>
    <w:p>
      <w:pPr>
        <w:pStyle w:val="BodyText"/>
      </w:pPr>
      <w:r>
        <w:rPr>
          <w:bCs/>
          <w:b/>
        </w:rPr>
        <w:t xml:space="preserve">Note:</w:t>
      </w:r>
      <w:r>
        <w:t xml:space="preserve"> </w:t>
      </w:r>
      <w:r>
        <w:t xml:space="preserve">This Quotation Estimate does not include third-party advertising spend, venue rental deposits exceeding standard rates, or any costs arising from force majeure events. All prices are exclusive of applicable VAT (20%) unless otherwise stated. The Politician's personal travel expenses outside Saint Petersburg are not covered under this estimate.</w:t>
      </w:r>
    </w:p>
    <w:bookmarkEnd w:id="22"/>
    <w:bookmarkStart w:id="23" w:name="payment-schedule"/>
    <w:p>
      <w:pPr>
        <w:pStyle w:val="Heading2"/>
      </w:pPr>
      <w:r>
        <w:t xml:space="preserve">3. Payment Schedule</w:t>
      </w:r>
    </w:p>
    <w:p>
      <w:pPr>
        <w:pStyle w:val="FirstParagraph"/>
      </w:pPr>
      <w:r>
        <w:t xml:space="preserve">Payment for the services outlined in this Quotation Estimate shall be made in quarterly installments as follows: 25% upon execution of the service agreement, 25% at the end of Month 4, 25% at the end of Month 8, and the final 25% upon completion of all deliverables or the conclusion of the engagement period, whichever occurs first. Invoices shall be issued to the Politician's designated campaign finance account registered with the Central Election Commission of Russia.</w:t>
      </w:r>
    </w:p>
    <w:bookmarkEnd w:id="23"/>
    <w:bookmarkStart w:id="24" w:name="assumptions-and-dependencies"/>
    <w:p>
      <w:pPr>
        <w:pStyle w:val="Heading2"/>
      </w:pPr>
      <w:r>
        <w:t xml:space="preserve">4. Assumptions and Dependencies</w:t>
      </w:r>
    </w:p>
    <w:p>
      <w:pPr>
        <w:pStyle w:val="FirstParagraph"/>
      </w:pPr>
      <w:r>
        <w:t xml:space="preserve">This Quotation Estimate assumes that the Politician will provide timely access to all necessary campaign materials, that all required permits for public events in Russia Saint Petersburg will be obtained within standard regulatory timelines, and that no material changes to the electoral calendar will occur. Should the election schedule be altered by the Central Election Commission, a revised Quotation Estimate will be issued within five (5) business days of the official announcement.</w:t>
      </w:r>
    </w:p>
    <w:bookmarkEnd w:id="24"/>
    <w:bookmarkStart w:id="25" w:name="deliverables"/>
    <w:p>
      <w:pPr>
        <w:pStyle w:val="Heading2"/>
      </w:pPr>
      <w:r>
        <w:t xml:space="preserve">5. Deliverables</w:t>
      </w:r>
    </w:p>
    <w:p>
      <w:pPr>
        <w:pStyle w:val="FirstParagraph"/>
      </w:pPr>
      <w:r>
        <w:t xml:space="preserve">Upon completion of each service phase, the following deliverables shall be provided to the Politician: a comprehensive campaign strategy document, monthly performance reports, media coverage summaries, voter sentiment analysis reports, compliance filing confirmations, and a final post-campaign debrief document. All deliverables are specific to the political context of Russia Saint Petersburg and shall be prepared in both Russian and English.</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a period of ninety (90) days from the date of issue. After this period, all rates are subject to revision based on prevailing market conditions in Saint Petersburg.</w:t>
      </w:r>
    </w:p>
    <w:p>
      <w:pPr>
        <w:numPr>
          <w:ilvl w:val="0"/>
          <w:numId w:val="1001"/>
        </w:numPr>
        <w:pStyle w:val="Compact"/>
      </w:pPr>
      <w:r>
        <w:t xml:space="preserve">The Politician agrees to maintain full transparency regarding campaign finances in accordance with Federal Law No. 46-FZ on Political Parties and related electoral legislation of the Russian Federation.</w:t>
      </w:r>
    </w:p>
    <w:p>
      <w:pPr>
        <w:numPr>
          <w:ilvl w:val="0"/>
          <w:numId w:val="1001"/>
        </w:numPr>
        <w:pStyle w:val="Compact"/>
      </w:pPr>
      <w:r>
        <w:t xml:space="preserve">Northwind Political Strategy Group, LLC reserves the right to decline engagement if the Politician's campaign activities conflict with the firm's ethical guidelines or applicable Russian law.</w:t>
      </w:r>
    </w:p>
    <w:p>
      <w:pPr>
        <w:numPr>
          <w:ilvl w:val="0"/>
          <w:numId w:val="1001"/>
        </w:numPr>
        <w:pStyle w:val="Compact"/>
      </w:pPr>
      <w:r>
        <w:t xml:space="preserve">All intellectual property created under this engagement, including campaign materials, speeches, and strategic documents, shall remain the property of the Politician upon full payment.</w:t>
      </w:r>
    </w:p>
    <w:p>
      <w:pPr>
        <w:numPr>
          <w:ilvl w:val="0"/>
          <w:numId w:val="1001"/>
        </w:numPr>
        <w:pStyle w:val="Compact"/>
      </w:pPr>
      <w:r>
        <w:t xml:space="preserve">Confidentiality: Both parties agree to maintain strict confidentiality regarding the contents of this Quotation Estimate and all strategic communications. This obligation survives termination of the agreement for a period of three (3) years.</w:t>
      </w:r>
    </w:p>
    <w:p>
      <w:pPr>
        <w:numPr>
          <w:ilvl w:val="0"/>
          <w:numId w:val="1001"/>
        </w:numPr>
        <w:pStyle w:val="Compact"/>
      </w:pPr>
      <w:r>
        <w:t xml:space="preserve">Disputes arising from this Quotation Estimate or the resulting service agreement shall be resolved through arbitration in Saint Petersburg, Russia, in accordance with the rules of the Arbitration Court of Saint Petersburg and Leningrad Oblast.</w:t>
      </w:r>
    </w:p>
    <w:p>
      <w:pPr>
        <w:numPr>
          <w:ilvl w:val="0"/>
          <w:numId w:val="1001"/>
        </w:numPr>
        <w:pStyle w:val="Compact"/>
      </w:pPr>
      <w:r>
        <w:t xml:space="preserve">Early termination by either party requires thirty (30) days written notice. In the event of early termination, the Politician shall be liable for all services rendered up to the termination date plus a 10% administrative fee.</w:t>
      </w:r>
    </w:p>
    <w:p>
      <w:pPr>
        <w:numPr>
          <w:ilvl w:val="0"/>
          <w:numId w:val="1001"/>
        </w:numPr>
        <w:pStyle w:val="Compact"/>
      </w:pPr>
      <w:r>
        <w:t xml:space="preserve">This Quotation Estimate does not constitute a guarantee of electoral outcome. The Politician acknowledges that election results are subject to the will of the electorate and the regulatory framework of Russia Saint Petersburg.</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This document, once countersigned, shall serve as the basis for the formal Service Agreement to be executed within ten (10) business days.</w:t>
      </w:r>
    </w:p>
    <w:p>
      <w:pPr>
        <w:pStyle w:val="BodyText"/>
      </w:pPr>
      <w:r>
        <w:rPr>
          <w:bCs/>
          <w:b/>
        </w:rPr>
        <w:t xml:space="preserve">For Northwind Political Strategy Group, LLC</w:t>
      </w:r>
    </w:p>
    <w:p>
      <w:pPr>
        <w:pStyle w:val="BodyText"/>
      </w:pPr>
      <w:r>
        <w:t xml:space="preserve">Name: Elena S. Petrova</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the Politician / Client</w:t>
      </w:r>
    </w:p>
    <w:p>
      <w:pPr>
        <w:pStyle w:val="BodyText"/>
      </w:pPr>
      <w:r>
        <w:t xml:space="preserve">Name: Hon. Dmitry A. Volkov</w:t>
      </w:r>
      <w:r>
        <w:br/>
      </w:r>
      <w:r>
        <w:t xml:space="preserve">Title: Candidate, Municipal Council</w:t>
      </w:r>
      <w:r>
        <w:br/>
      </w:r>
      <w:r>
        <w:t xml:space="preserve">Signature: _________________________</w:t>
      </w:r>
      <w:r>
        <w:br/>
      </w:r>
      <w:r>
        <w:t xml:space="preserve">Date: _________________________</w:t>
      </w:r>
    </w:p>
    <w:p>
      <w:pPr>
        <w:pStyle w:val="BodyText"/>
      </w:pPr>
      <w:r>
        <w:t xml:space="preserve">Northwind Political Strategy Group, LLC | 12 Nevsky Prospekt, Suite 407, Saint Petersburg, Russia 191025</w:t>
      </w:r>
      <w:r>
        <w:br/>
      </w:r>
      <w:r>
        <w:t xml:space="preserve">Registration No. 7811045678 | INN 7805123456 | Phone: +7 (812) 555-0142 | Email: estimates@northwind-political.ru</w:t>
      </w:r>
      <w:r>
        <w:br/>
      </w:r>
      <w:r>
        <w:t xml:space="preserve">This Quotation Estimate is a confidential commercial document. Unauthorized reproduction or distribution is prohibited.</w:t>
      </w:r>
      <w:r>
        <w:br/>
      </w:r>
      <w:r>
        <w:t xml:space="preserve">Document Reference: QTE-RSP-2025-04782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Russia Saint Petersburg</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