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quotation-estimate"/>
    <w:p>
      <w:pPr>
        <w:pStyle w:val="Heading1"/>
      </w:pPr>
      <w:r>
        <w:t xml:space="preserve">QUOTATION ESTIMATE</w:t>
      </w:r>
    </w:p>
    <w:p>
      <w:pPr>
        <w:pStyle w:val="FirstParagraph"/>
      </w:pPr>
      <w:r>
        <w:t xml:space="preserve">Professional Political Advisory &amp; Strategic Consulting Services</w:t>
      </w:r>
    </w:p>
    <w:p>
      <w:pPr>
        <w:pStyle w:val="BodyText"/>
      </w:pPr>
      <w:r>
        <w:t xml:space="preserve">Kingdom of Saudi Arabia — Riyadh</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QTE-2025-RYD-04782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Khalid Al-Mansour, Senior Politician &amp; Political Strategist</w:t>
            </w:r>
          </w:p>
        </w:tc>
      </w:tr>
      <w:tr>
        <w:tc>
          <w:tcPr/>
          <w:p>
            <w:pPr>
              <w:pStyle w:val="Compact"/>
              <w:jc w:val="left"/>
            </w:pPr>
            <w:r>
              <w:t xml:space="preserve">Address:</w:t>
            </w:r>
          </w:p>
        </w:tc>
        <w:tc>
          <w:tcPr/>
          <w:p>
            <w:pPr>
              <w:pStyle w:val="Compact"/>
              <w:jc w:val="left"/>
            </w:pPr>
            <w:r>
              <w:t xml:space="preserve">King Fahd Road, Al Olaya District, Riyadh 12211, Saudi Arabia</w:t>
            </w:r>
          </w:p>
        </w:tc>
      </w:tr>
      <w:tr>
        <w:tc>
          <w:tcPr/>
          <w:p>
            <w:pPr>
              <w:pStyle w:val="Compact"/>
              <w:jc w:val="left"/>
            </w:pPr>
            <w:r>
              <w:t xml:space="preserve">Client / Recipient:</w:t>
            </w:r>
          </w:p>
        </w:tc>
        <w:tc>
          <w:tcPr/>
          <w:p>
            <w:pPr>
              <w:pStyle w:val="Compact"/>
              <w:jc w:val="left"/>
            </w:pPr>
            <w:r>
              <w:t xml:space="preserve">Ministry of Municipal and Rural Affairs, Riyadh Headquarters</w:t>
            </w:r>
          </w:p>
        </w:tc>
      </w:tr>
      <w:tr>
        <w:tc>
          <w:tcPr/>
          <w:p>
            <w:pPr>
              <w:pStyle w:val="Compact"/>
              <w:jc w:val="left"/>
            </w:pPr>
            <w:r>
              <w:t xml:space="preserve">Client Contact:</w:t>
            </w:r>
          </w:p>
        </w:tc>
        <w:tc>
          <w:tcPr/>
          <w:p>
            <w:pPr>
              <w:pStyle w:val="Compact"/>
              <w:jc w:val="left"/>
            </w:pPr>
            <w:r>
              <w:t xml:space="preserve">Office of the Under-Secretary, P.O. Box 2847, Riyadh, Saudi Arabia</w:t>
            </w:r>
          </w:p>
        </w:tc>
      </w:tr>
      <w:tr>
        <w:tc>
          <w:tcPr/>
          <w:p>
            <w:pPr>
              <w:pStyle w:val="Compact"/>
              <w:jc w:val="left"/>
            </w:pPr>
            <w:r>
              <w:t xml:space="preserve">Currency:</w:t>
            </w:r>
          </w:p>
        </w:tc>
        <w:tc>
          <w:tcPr/>
          <w:p>
            <w:pPr>
              <w:pStyle w:val="Compact"/>
              <w:jc w:val="left"/>
            </w:pPr>
            <w:r>
              <w:t xml:space="preserve">Saudi Riyal (SAR)</w:t>
            </w:r>
          </w:p>
        </w:tc>
      </w:tr>
    </w:tbl>
    <w:bookmarkStart w:id="21" w:name="executive-summary"/>
    <w:p>
      <w:pPr>
        <w:pStyle w:val="Heading2"/>
      </w:pPr>
      <w:r>
        <w:t xml:space="preserve">1. Executive Summary</w:t>
      </w:r>
    </w:p>
    <w:p>
      <w:pPr>
        <w:pStyle w:val="FirstParagraph"/>
      </w:pPr>
      <w:r>
        <w:t xml:space="preserve">This Quotation Estimate is formally submitted by the undersigned Politician, Dr. Khalid Al-Mansour, to the Ministry of Municipal and Rural Affairs in Riyadh, Saudi Arabia, for the provision of comprehensive political advisory, strategic governance consulting, and public policy development services. This Quotation Estimate outlines the scope of work, deliverables, timelines, and associated costs for a twelve-month engagement period commencing upon mutual written acceptance. All services described herein shall be delivered in full compliance with the laws and regulations of the Kingdom of Saudi Arabia and in alignment with the strategic objectives of Vision 2030 as articulated by the leadership of Saudi Arabia Riyadh.</w:t>
      </w:r>
    </w:p>
    <w:bookmarkEnd w:id="21"/>
    <w:bookmarkStart w:id="26" w:name="scope-of-services"/>
    <w:p>
      <w:pPr>
        <w:pStyle w:val="Heading2"/>
      </w:pPr>
      <w:r>
        <w:t xml:space="preserve">2. Scope of Services</w:t>
      </w:r>
    </w:p>
    <w:p>
      <w:pPr>
        <w:pStyle w:val="FirstParagraph"/>
      </w:pPr>
      <w:r>
        <w:t xml:space="preserve">The Politician engaged under this Quotation Estimate shall provide the following professional services to the client organization based in Riyadh, Saudi Arabia:</w:t>
      </w:r>
    </w:p>
    <w:bookmarkStart w:id="22" w:name="political-strategy-governance-advisory"/>
    <w:p>
      <w:pPr>
        <w:pStyle w:val="Heading3"/>
      </w:pPr>
      <w:r>
        <w:t xml:space="preserve">2.1 Political Strategy &amp; Governance Advisory</w:t>
      </w:r>
    </w:p>
    <w:p>
      <w:pPr>
        <w:pStyle w:val="FirstParagraph"/>
      </w:pPr>
      <w:r>
        <w:t xml:space="preserve">Development of long-term political strategy frameworks for municipal governance in Riyadh. This includes policy analysis, stakeholder mapping, legislative impact assessments, and the preparation of formal advisory memoranda to senior government officials. The Politician shall conduct no fewer than four (4) in-person strategy sessions per quarter at the client's Riyadh headquarters.</w:t>
      </w:r>
    </w:p>
    <w:bookmarkEnd w:id="22"/>
    <w:bookmarkStart w:id="23" w:name="public-policy-research-development"/>
    <w:p>
      <w:pPr>
        <w:pStyle w:val="Heading3"/>
      </w:pPr>
      <w:r>
        <w:t xml:space="preserve">2.2 Public Policy Research &amp; Development</w:t>
      </w:r>
    </w:p>
    <w:p>
      <w:pPr>
        <w:pStyle w:val="FirstParagraph"/>
      </w:pPr>
      <w:r>
        <w:t xml:space="preserve">Conducting in-depth research on urban development policy, inter-municipal coordination, and citizen engagement frameworks specific to the Riyadh metropolitan area. The Politician shall deliver a minimum of six (6) comprehensive policy white papers per year, each exceeding 40 pages, tailored to the regulatory environment of Saudi Arabia.</w:t>
      </w:r>
    </w:p>
    <w:bookmarkEnd w:id="23"/>
    <w:bookmarkStart w:id="24" w:name="X303f614d9ff0d2300f293e7c220b16737010298"/>
    <w:p>
      <w:pPr>
        <w:pStyle w:val="Heading3"/>
      </w:pPr>
      <w:r>
        <w:t xml:space="preserve">2.3 Stakeholder Engagement &amp; Diplomatic Liaison</w:t>
      </w:r>
    </w:p>
    <w:p>
      <w:pPr>
        <w:pStyle w:val="FirstParagraph"/>
      </w:pPr>
      <w:r>
        <w:t xml:space="preserve">Facilitating structured engagement between the client ministry and regional political bodies, municipal councils, and community leadership across the Riyadh Governorate. The Politician shall serve as a formal liaison for inter-agency political coordination and shall represent the client at no fewer than eight (8) official governmental forums per annum within Saudi Arabia.</w:t>
      </w:r>
    </w:p>
    <w:bookmarkEnd w:id="24"/>
    <w:bookmarkStart w:id="25" w:name="X9ffd2f1cd2b12b4c4934e1ac130eab7cc00a770"/>
    <w:p>
      <w:pPr>
        <w:pStyle w:val="Heading3"/>
      </w:pPr>
      <w:r>
        <w:t xml:space="preserve">2.4 Crisis Communication &amp; Political Risk Assessment</w:t>
      </w:r>
    </w:p>
    <w:p>
      <w:pPr>
        <w:pStyle w:val="FirstParagraph"/>
      </w:pPr>
      <w:r>
        <w:t xml:space="preserve">Providing real-time political risk analysis and crisis communication strategy in the event of public policy disputes, media inquiries, or inter-governmental conflicts affecting the client's operations in Riyadh. The Politician shall maintain a 24-hour availability protocol for emergency political advisory consultations.</w:t>
      </w:r>
    </w:p>
    <w:bookmarkEnd w:id="25"/>
    <w:bookmarkEnd w:id="26"/>
    <w:bookmarkStart w:id="27" w:name="quotation-estimate-itemized-costs"/>
    <w:p>
      <w:pPr>
        <w:pStyle w:val="Heading2"/>
      </w:pPr>
      <w:r>
        <w:t xml:space="preserve">3. Quotation Estimate – Itemized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(SAR)</w:t>
            </w:r>
          </w:p>
        </w:tc>
        <w:tc>
          <w:tcPr/>
          <w:p>
            <w:pPr>
              <w:pStyle w:val="Compact"/>
              <w:jc w:val="left"/>
            </w:pPr>
            <w:r>
              <w:t xml:space="preserve">Quantity</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Political Strategy &amp; Governance Advisory Sessions (in-person, Riyadh)</w:t>
            </w:r>
          </w:p>
        </w:tc>
        <w:tc>
          <w:tcPr/>
          <w:p>
            <w:pPr>
              <w:pStyle w:val="Compact"/>
              <w:jc w:val="left"/>
            </w:pPr>
            <w:r>
              <w:t xml:space="preserve">Per session</w:t>
            </w:r>
          </w:p>
        </w:tc>
        <w:tc>
          <w:tcPr/>
          <w:p>
            <w:pPr>
              <w:pStyle w:val="Compact"/>
              <w:jc w:val="left"/>
            </w:pPr>
            <w:r>
              <w:t xml:space="preserve">18,500</w:t>
            </w:r>
          </w:p>
        </w:tc>
        <w:tc>
          <w:tcPr/>
          <w:p>
            <w:pPr>
              <w:pStyle w:val="Compact"/>
              <w:jc w:val="left"/>
            </w:pPr>
            <w:r>
              <w:t xml:space="preserve">16</w:t>
            </w:r>
          </w:p>
        </w:tc>
        <w:tc>
          <w:tcPr/>
          <w:p>
            <w:pPr>
              <w:pStyle w:val="Compact"/>
              <w:jc w:val="left"/>
            </w:pPr>
            <w:r>
              <w:t xml:space="preserve">296,000</w:t>
            </w:r>
          </w:p>
        </w:tc>
      </w:tr>
      <w:tr>
        <w:tc>
          <w:tcPr/>
          <w:p>
            <w:pPr>
              <w:pStyle w:val="Compact"/>
              <w:jc w:val="left"/>
            </w:pPr>
            <w:r>
              <w:t xml:space="preserve">02</w:t>
            </w:r>
          </w:p>
        </w:tc>
        <w:tc>
          <w:tcPr/>
          <w:p>
            <w:pPr>
              <w:pStyle w:val="Compact"/>
              <w:jc w:val="left"/>
            </w:pPr>
            <w:r>
              <w:t xml:space="preserve">Public Policy White Paper Development &amp; Delivery</w:t>
            </w:r>
          </w:p>
        </w:tc>
        <w:tc>
          <w:tcPr/>
          <w:p>
            <w:pPr>
              <w:pStyle w:val="Compact"/>
              <w:jc w:val="left"/>
            </w:pPr>
            <w:r>
              <w:t xml:space="preserve">Per document</w:t>
            </w:r>
          </w:p>
        </w:tc>
        <w:tc>
          <w:tcPr/>
          <w:p>
            <w:pPr>
              <w:pStyle w:val="Compact"/>
              <w:jc w:val="left"/>
            </w:pPr>
            <w:r>
              <w:t xml:space="preserve">42,000</w:t>
            </w:r>
          </w:p>
        </w:tc>
        <w:tc>
          <w:tcPr/>
          <w:p>
            <w:pPr>
              <w:pStyle w:val="Compact"/>
              <w:jc w:val="left"/>
            </w:pPr>
            <w:r>
              <w:t xml:space="preserve">6</w:t>
            </w:r>
          </w:p>
        </w:tc>
        <w:tc>
          <w:tcPr/>
          <w:p>
            <w:pPr>
              <w:pStyle w:val="Compact"/>
              <w:jc w:val="left"/>
            </w:pPr>
            <w:r>
              <w:t xml:space="preserve">252,000</w:t>
            </w:r>
          </w:p>
        </w:tc>
      </w:tr>
      <w:tr>
        <w:tc>
          <w:tcPr/>
          <w:p>
            <w:pPr>
              <w:pStyle w:val="Compact"/>
              <w:jc w:val="left"/>
            </w:pPr>
            <w:r>
              <w:t xml:space="preserve">03</w:t>
            </w:r>
          </w:p>
        </w:tc>
        <w:tc>
          <w:tcPr/>
          <w:p>
            <w:pPr>
              <w:pStyle w:val="Compact"/>
              <w:jc w:val="left"/>
            </w:pPr>
            <w:r>
              <w:t xml:space="preserve">Stakeholder Engagement &amp; Diplomatic Liaison Services</w:t>
            </w:r>
          </w:p>
        </w:tc>
        <w:tc>
          <w:tcPr/>
          <w:p>
            <w:pPr>
              <w:pStyle w:val="Compact"/>
              <w:jc w:val="left"/>
            </w:pPr>
            <w:r>
              <w:t xml:space="preserve">Per forum/event</w:t>
            </w:r>
          </w:p>
        </w:tc>
        <w:tc>
          <w:tcPr/>
          <w:p>
            <w:pPr>
              <w:pStyle w:val="Compact"/>
              <w:jc w:val="left"/>
            </w:pPr>
            <w:r>
              <w:t xml:space="preserve">12,000</w:t>
            </w:r>
          </w:p>
        </w:tc>
        <w:tc>
          <w:tcPr/>
          <w:p>
            <w:pPr>
              <w:pStyle w:val="Compact"/>
              <w:jc w:val="left"/>
            </w:pPr>
            <w:r>
              <w:t xml:space="preserve">8</w:t>
            </w:r>
          </w:p>
        </w:tc>
        <w:tc>
          <w:tcPr/>
          <w:p>
            <w:pPr>
              <w:pStyle w:val="Compact"/>
              <w:jc w:val="left"/>
            </w:pPr>
            <w:r>
              <w:t xml:space="preserve">96,000</w:t>
            </w:r>
          </w:p>
        </w:tc>
      </w:tr>
      <w:tr>
        <w:tc>
          <w:tcPr/>
          <w:p>
            <w:pPr>
              <w:pStyle w:val="Compact"/>
              <w:jc w:val="left"/>
            </w:pPr>
            <w:r>
              <w:t xml:space="preserve">04</w:t>
            </w:r>
          </w:p>
        </w:tc>
        <w:tc>
          <w:tcPr/>
          <w:p>
            <w:pPr>
              <w:pStyle w:val="Compact"/>
              <w:jc w:val="left"/>
            </w:pPr>
            <w:r>
              <w:t xml:space="preserve">Crisis Communication &amp; Political Risk Assessment (retainer)</w:t>
            </w:r>
          </w:p>
        </w:tc>
        <w:tc>
          <w:tcPr/>
          <w:p>
            <w:pPr>
              <w:pStyle w:val="Compact"/>
              <w:jc w:val="left"/>
            </w:pPr>
            <w:r>
              <w:t xml:space="preserve">Monthly retainer</w:t>
            </w:r>
          </w:p>
        </w:tc>
        <w:tc>
          <w:tcPr/>
          <w:p>
            <w:pPr>
              <w:pStyle w:val="Compact"/>
              <w:jc w:val="left"/>
            </w:pPr>
            <w:r>
              <w:t xml:space="preserve">25,000</w:t>
            </w:r>
          </w:p>
        </w:tc>
        <w:tc>
          <w:tcPr/>
          <w:p>
            <w:pPr>
              <w:pStyle w:val="Compact"/>
              <w:jc w:val="left"/>
            </w:pPr>
            <w:r>
              <w:t xml:space="preserve">12</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Travel &amp; Logistics within Riyadh Governorate</w:t>
            </w:r>
          </w:p>
        </w:tc>
        <w:tc>
          <w:tcPr/>
          <w:p>
            <w:pPr>
              <w:pStyle w:val="Compact"/>
              <w:jc w:val="left"/>
            </w:pPr>
            <w:r>
              <w:t xml:space="preserve">Monthly allocation</w:t>
            </w:r>
          </w:p>
        </w:tc>
        <w:tc>
          <w:tcPr/>
          <w:p>
            <w:pPr>
              <w:pStyle w:val="Compact"/>
              <w:jc w:val="left"/>
            </w:pPr>
            <w:r>
              <w:t xml:space="preserve">4,500</w:t>
            </w:r>
          </w:p>
        </w:tc>
        <w:tc>
          <w:tcPr/>
          <w:p>
            <w:pPr>
              <w:pStyle w:val="Compact"/>
              <w:jc w:val="left"/>
            </w:pPr>
            <w:r>
              <w:t xml:space="preserve">12</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Administrative Support &amp; Report Formatting (Arabic/English)</w:t>
            </w:r>
          </w:p>
        </w:tc>
        <w:tc>
          <w:tcPr/>
          <w:p>
            <w:pPr>
              <w:pStyle w:val="Compact"/>
              <w:jc w:val="left"/>
            </w:pPr>
            <w:r>
              <w:t xml:space="preserve">Monthly allocation</w:t>
            </w:r>
          </w:p>
        </w:tc>
        <w:tc>
          <w:tcPr/>
          <w:p>
            <w:pPr>
              <w:pStyle w:val="Compact"/>
              <w:jc w:val="left"/>
            </w:pPr>
            <w:r>
              <w:t xml:space="preserve">6,000</w:t>
            </w:r>
          </w:p>
        </w:tc>
        <w:tc>
          <w:tcPr/>
          <w:p>
            <w:pPr>
              <w:pStyle w:val="Compact"/>
              <w:jc w:val="left"/>
            </w:pPr>
            <w:r>
              <w:t xml:space="preserve">12</w:t>
            </w:r>
          </w:p>
        </w:tc>
        <w:tc>
          <w:tcPr/>
          <w:p>
            <w:pPr>
              <w:pStyle w:val="Compact"/>
              <w:jc w:val="left"/>
            </w:pPr>
            <w:r>
              <w:t xml:space="preserve">72,000</w:t>
            </w:r>
          </w:p>
        </w:tc>
      </w:tr>
      <w:tr>
        <w:tc>
          <w:tcPr>
            <w:gridSpan w:val="5"/>
          </w:tcPr>
          <w:p>
            <w:pPr>
              <w:pStyle w:val="Compact"/>
              <w:jc w:val="left"/>
            </w:pPr>
            <w:r>
              <w:t xml:space="preserve">Subtotal</w:t>
            </w:r>
          </w:p>
        </w:tc>
        <w:tc>
          <w:tcPr/>
          <w:p>
            <w:pPr>
              <w:pStyle w:val="Compact"/>
              <w:jc w:val="left"/>
            </w:pPr>
            <w:r>
              <w:t xml:space="preserve">1,070,000</w:t>
            </w:r>
          </w:p>
        </w:tc>
      </w:tr>
      <w:tr>
        <w:tc>
          <w:tcPr>
            <w:gridSpan w:val="5"/>
          </w:tcPr>
          <w:p>
            <w:pPr>
              <w:pStyle w:val="Compact"/>
              <w:jc w:val="left"/>
            </w:pPr>
            <w:r>
              <w:t xml:space="preserve">VAT (15% – Kingdom of Saudi Arabia)</w:t>
            </w:r>
          </w:p>
        </w:tc>
        <w:tc>
          <w:tcPr/>
          <w:p>
            <w:pPr>
              <w:pStyle w:val="Compact"/>
              <w:jc w:val="left"/>
            </w:pPr>
            <w:r>
              <w:t xml:space="preserve">160,500</w:t>
            </w:r>
          </w:p>
        </w:tc>
      </w:tr>
      <w:tr>
        <w:tc>
          <w:tcPr>
            <w:gridSpan w:val="5"/>
          </w:tcPr>
          <w:p>
            <w:pPr>
              <w:pStyle w:val="Compact"/>
              <w:jc w:val="left"/>
            </w:pPr>
            <w:r>
              <w:rPr>
                <w:bCs/>
                <w:b/>
              </w:rPr>
              <w:t xml:space="preserve">GRAND TOTAL (SAR)</w:t>
            </w:r>
          </w:p>
        </w:tc>
        <w:tc>
          <w:tcPr/>
          <w:p>
            <w:pPr>
              <w:pStyle w:val="Compact"/>
              <w:jc w:val="left"/>
            </w:pPr>
            <w:r>
              <w:rPr>
                <w:bCs/>
                <w:b/>
              </w:rPr>
              <w:t xml:space="preserve">1,230,500</w:t>
            </w:r>
          </w:p>
        </w:tc>
      </w:tr>
    </w:tbl>
    <w:bookmarkEnd w:id="27"/>
    <w:bookmarkStart w:id="28" w:name="payment-terms"/>
    <w:p>
      <w:pPr>
        <w:pStyle w:val="Heading2"/>
      </w:pPr>
      <w:r>
        <w:t xml:space="preserve">4. Payment Terms</w:t>
      </w:r>
    </w:p>
    <w:p>
      <w:pPr>
        <w:pStyle w:val="FirstParagraph"/>
      </w:pPr>
      <w:r>
        <w:t xml:space="preserve">Payment for the services outlined in this Quotation Estimate shall be made in quarterly installments of SAR 307,625 (inclusive of VAT), due within thirty (30) calendar days of the end of each fiscal quarter. The first installment shall be due upon the formal signing of the service agreement. All payments shall be processed via bank transfer to the Politician's designated corporate account at Al Rajhi Bank, Riyadh Branch, Saudi Arabia. Late payments shall incur a penalty of 1.5% per month as per Saudi commercial law.</w:t>
      </w:r>
    </w:p>
    <w:bookmarkEnd w:id="28"/>
    <w:bookmarkStart w:id="29" w:name="terms-conditions"/>
    <w:p>
      <w:pPr>
        <w:pStyle w:val="Heading2"/>
      </w:pPr>
      <w:r>
        <w:t xml:space="preserve">5. Terms &amp; Conditions</w:t>
      </w:r>
    </w:p>
    <w:p>
      <w:pPr>
        <w:pStyle w:val="FirstParagraph"/>
      </w:pPr>
      <w:r>
        <w:t xml:space="preserve">This Quotation Estimate is valid for a period of ninety (90) days from the date of issue. Acceptance of this Quotation Estimate constitutes a binding agreement between the Politician and the client. All intellectual property generated under this engagement, including policy documents, strategic frameworks, and advisory memoranda, shall remain the exclusive property of the client organization in Riyadh, Saudi Arabia, upon full payment. The Politician shall maintain strict confidentiality in accordance with the Saudi Data and AI Authority (SDAIA) regulations and the client's internal data protection policies. This Quotation Estimate is governed by the laws of the Kingdom of Saudi Arabia, and any disputes shall be resolved through the competent courts in Riyadh.</w:t>
      </w:r>
    </w:p>
    <w:bookmarkEnd w:id="29"/>
    <w:bookmarkStart w:id="30" w:name="acceptance-authorization"/>
    <w:p>
      <w:pPr>
        <w:pStyle w:val="Heading2"/>
      </w:pPr>
      <w:r>
        <w:t xml:space="preserve">6. Acceptance &amp; Authorization</w:t>
      </w:r>
    </w:p>
    <w:p>
      <w:pPr>
        <w:pStyle w:val="FirstParagraph"/>
      </w:pPr>
      <w:r>
        <w:t xml:space="preserve">By signing below, both parties acknowledge and accept the terms, scope, and financial obligations set forth in this Quotation Estimate for political advisory services in Riyadh, Saudi Arabia.</w:t>
      </w:r>
    </w:p>
    <w:p>
      <w:pPr>
        <w:pStyle w:val="BodyText"/>
      </w:pPr>
      <w:r>
        <w:rPr>
          <w:bCs/>
          <w:b/>
        </w:rPr>
        <w:t xml:space="preserve">For the Politician (Service Provider):</w:t>
      </w:r>
    </w:p>
    <w:p>
      <w:pPr>
        <w:pStyle w:val="BodyText"/>
      </w:pPr>
      <w:r>
        <w:t xml:space="preserve">Dr. Khalid Al-Mansour</w:t>
      </w:r>
      <w:r>
        <w:br/>
      </w:r>
      <w:r>
        <w:t xml:space="preserve">Senior Politician &amp; Political Strategist</w:t>
      </w:r>
      <w:r>
        <w:br/>
      </w:r>
      <w:r>
        <w:t xml:space="preserve">Signature &amp; Date</w:t>
      </w:r>
    </w:p>
    <w:p>
      <w:pPr>
        <w:pStyle w:val="BodyText"/>
      </w:pPr>
      <w:r>
        <w:rPr>
          <w:bCs/>
          <w:b/>
        </w:rPr>
        <w:t xml:space="preserve">For the Client (Ministry):</w:t>
      </w:r>
    </w:p>
    <w:p>
      <w:pPr>
        <w:pStyle w:val="BodyText"/>
      </w:pPr>
      <w:r>
        <w:t xml:space="preserve">Under-Secretary, Ministry of Municipal</w:t>
      </w:r>
      <w:r>
        <w:br/>
      </w:r>
      <w:r>
        <w:t xml:space="preserve">and Rural Affairs, Riyadh</w:t>
      </w:r>
      <w:r>
        <w:br/>
      </w:r>
      <w:r>
        <w:t xml:space="preserve">Signature, Stamp &amp; Date</w:t>
      </w:r>
    </w:p>
    <w:p>
      <w:pPr>
        <w:pStyle w:val="BodyText"/>
      </w:pPr>
      <w:r>
        <w:t xml:space="preserve">Quotation Estimate No. QTE-2025-RYD-04782 | Issued in Riyadh, Saudi Arabia | This document is confidential and intended solely for the named recipient.</w:t>
      </w:r>
    </w:p>
    <w:p>
      <w:pPr>
        <w:pStyle w:val="BodyText"/>
      </w:pPr>
      <w:r>
        <w:t xml:space="preserve">Dr. Khalid Al-Mansour — Political Advisory Services | King Fahd Road, Al Olaya, Riyadh 12211, Saudi Arabia | Tel: +966-11-XXXX-XXXX | Email: k.almansour@politicaladvisory.sa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Advisory Services - Saudi Arabia Riyadh</dc:title>
  <dc:creator/>
  <dc:language>en</dc:language>
  <cp:keywords/>
  <dcterms:created xsi:type="dcterms:W3CDTF">2026-10-10T07:33:34Z</dcterms:created>
  <dcterms:modified xsi:type="dcterms:W3CDTF">2026-10-10T07:33:34Z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