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t xml:space="preserve">Professional Political Advisory &amp; Campaign Management Services</w:t>
      </w:r>
    </w:p>
    <w:p>
      <w:pPr>
        <w:pStyle w:val="BodyText"/>
      </w:pPr>
      <w:r>
        <w:t xml:space="preserve">Ref: QE-SUD-KRT-2025-0472 | Issued in Khartoum, Sudan</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QE-SUD-KRT-2025-0472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Prepared By</w:t>
            </w:r>
          </w:p>
        </w:tc>
        <w:tc>
          <w:tcPr/>
          <w:p>
            <w:pPr>
              <w:pStyle w:val="Compact"/>
              <w:jc w:val="left"/>
            </w:pPr>
            <w:r>
              <w:t xml:space="preserve">Al-Nile Political Consultancy Group, Omdurman Road, Khartoum, Sudan</w:t>
            </w:r>
          </w:p>
        </w:tc>
        <w:tc>
          <w:tcPr/>
          <w:p>
            <w:pPr>
              <w:pStyle w:val="Compact"/>
              <w:jc w:val="left"/>
            </w:pPr>
            <w:r>
              <w:t xml:space="preserve">Validity Period</w:t>
            </w:r>
          </w:p>
        </w:tc>
        <w:tc>
          <w:tcPr/>
          <w:p>
            <w:pPr>
              <w:pStyle w:val="Compact"/>
              <w:jc w:val="left"/>
            </w:pPr>
            <w:r>
              <w:t xml:space="preserve">30 days from date of issue</w:t>
            </w:r>
          </w:p>
        </w:tc>
      </w:tr>
      <w:tr>
        <w:tc>
          <w:tcPr/>
          <w:p>
            <w:pPr>
              <w:pStyle w:val="Compact"/>
              <w:jc w:val="left"/>
            </w:pPr>
            <w:r>
              <w:t xml:space="preserve">Client / Beneficiary</w:t>
            </w:r>
          </w:p>
        </w:tc>
        <w:tc>
          <w:tcPr/>
          <w:p>
            <w:pPr>
              <w:pStyle w:val="Compact"/>
              <w:jc w:val="left"/>
            </w:pPr>
            <w:r>
              <w:t xml:space="preserve">Hon. Politician – Office of the Parliamentary Delegate, National Assembly, Khartoum State</w:t>
            </w:r>
          </w:p>
        </w:tc>
        <w:tc>
          <w:tcPr/>
          <w:p>
            <w:pPr>
              <w:pStyle w:val="Compact"/>
              <w:jc w:val="left"/>
            </w:pPr>
            <w:r>
              <w:t xml:space="preserve">Currency</w:t>
            </w:r>
          </w:p>
        </w:tc>
        <w:tc>
          <w:tcPr/>
          <w:p>
            <w:pPr>
              <w:pStyle w:val="Compact"/>
              <w:jc w:val="left"/>
            </w:pPr>
            <w:r>
              <w:t xml:space="preserve">USD (United States Dollars)</w:t>
            </w:r>
          </w:p>
        </w:tc>
      </w:tr>
      <w:tr>
        <w:tc>
          <w:tcPr/>
          <w:p>
            <w:pPr>
              <w:pStyle w:val="Compact"/>
              <w:jc w:val="left"/>
            </w:pPr>
            <w:r>
              <w:t xml:space="preserve">Project Location</w:t>
            </w:r>
          </w:p>
        </w:tc>
        <w:tc>
          <w:tcPr/>
          <w:p>
            <w:pPr>
              <w:pStyle w:val="Compact"/>
              <w:jc w:val="left"/>
            </w:pPr>
            <w:r>
              <w:t xml:space="preserve">Khartoum, Sudan (Primary); Omdurman &amp; Bahri (Secondary)</w:t>
            </w:r>
          </w:p>
        </w:tc>
        <w:tc>
          <w:tcPr/>
          <w:p>
            <w:pPr>
              <w:pStyle w:val="Compact"/>
              <w:jc w:val="left"/>
            </w:pPr>
            <w:r>
              <w:t xml:space="preserve">Engagement Duration</w:t>
            </w:r>
          </w:p>
        </w:tc>
        <w:tc>
          <w:tcPr/>
          <w:p>
            <w:pPr>
              <w:pStyle w:val="Compact"/>
              <w:jc w:val="left"/>
            </w:pPr>
            <w:r>
              <w:t xml:space="preserve">12 months (renewable)</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prepared to outline the comprehensive professional services to be rendered in support of a senior</w:t>
      </w:r>
      <w:r>
        <w:t xml:space="preserve"> </w:t>
      </w:r>
      <w:r>
        <w:t xml:space="preserve">Politician</w:t>
      </w:r>
      <w:r>
        <w:t xml:space="preserve"> </w:t>
      </w:r>
      <w:r>
        <w:t xml:space="preserve">operating within the political landscape of</w:t>
      </w:r>
      <w:r>
        <w:t xml:space="preserve"> </w:t>
      </w:r>
      <w:r>
        <w:t xml:space="preserve">Sudan Khartoum</w:t>
      </w:r>
      <w:r>
        <w:t xml:space="preserve">. The engagement encompasses strategic political advisory, public communications management, constituency outreach planning, legislative research support, and campaign coordination services. All deliverables are tailored to the specific governance context, cultural norms, and regulatory environment of Khartoum, the capital city of the Republic of Sudan.</w:t>
      </w:r>
    </w:p>
    <w:p>
      <w:pPr>
        <w:pStyle w:val="BodyText"/>
      </w:pPr>
      <w:r>
        <w:t xml:space="preserve">The</w:t>
      </w:r>
      <w:r>
        <w:t xml:space="preserve"> </w:t>
      </w:r>
      <w:r>
        <w:t xml:space="preserve">Politician</w:t>
      </w:r>
      <w:r>
        <w:t xml:space="preserve"> </w:t>
      </w:r>
      <w:r>
        <w:t xml:space="preserve">for whom this estimate is prepared holds a seat in the National Assembly and requires ongoing professional support to manage legislative duties, public engagements, media appearances, and grassroots constituency work across the three cities of Khartoum, Omdurman, and Bahri. This</w:t>
      </w:r>
      <w:r>
        <w:t xml:space="preserve"> </w:t>
      </w:r>
      <w:r>
        <w:t xml:space="preserve">Quotation Estimate</w:t>
      </w:r>
      <w:r>
        <w:t xml:space="preserve"> </w:t>
      </w:r>
      <w:r>
        <w:t xml:space="preserve">reflects a full-service retainer model with optional add-on modules as detailed below.</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Cost (USD)</w:t>
            </w:r>
          </w:p>
        </w:tc>
        <w:tc>
          <w:tcPr/>
          <w:p>
            <w:pPr>
              <w:pStyle w:val="Compact"/>
              <w:jc w:val="left"/>
            </w:pPr>
            <w:r>
              <w:t xml:space="preserve">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Strategic Political Advisory &amp; Policy Briefing for the Politician</w:t>
            </w:r>
          </w:p>
        </w:tc>
        <w:tc>
          <w:tcPr/>
          <w:p>
            <w:pPr>
              <w:pStyle w:val="Compact"/>
              <w:jc w:val="left"/>
            </w:pPr>
            <w:r>
              <w:t xml:space="preserve">Monthly (12)</w:t>
            </w:r>
          </w:p>
        </w:tc>
        <w:tc>
          <w:tcPr/>
          <w:p>
            <w:pPr>
              <w:pStyle w:val="Compact"/>
              <w:jc w:val="left"/>
            </w:pPr>
            <w:r>
              <w:t xml:space="preserve">$4,500</w:t>
            </w:r>
          </w:p>
        </w:tc>
        <w:tc>
          <w:tcPr/>
          <w:p>
            <w:pPr>
              <w:pStyle w:val="Compact"/>
              <w:jc w:val="left"/>
            </w:pPr>
            <w:r>
              <w:t xml:space="preserve">$54,000</w:t>
            </w:r>
          </w:p>
        </w:tc>
        <w:tc>
          <w:tcPr/>
          <w:p>
            <w:pPr>
              <w:pStyle w:val="Compact"/>
              <w:jc w:val="left"/>
            </w:pPr>
            <w:r>
              <w:t xml:space="preserve">Includes 4 sessions/month in Khartoum</w:t>
            </w:r>
          </w:p>
        </w:tc>
      </w:tr>
      <w:tr>
        <w:tc>
          <w:tcPr/>
          <w:p>
            <w:pPr>
              <w:pStyle w:val="Compact"/>
              <w:jc w:val="left"/>
            </w:pPr>
            <w:r>
              <w:t xml:space="preserve">2</w:t>
            </w:r>
          </w:p>
        </w:tc>
        <w:tc>
          <w:tcPr/>
          <w:p>
            <w:pPr>
              <w:pStyle w:val="Compact"/>
              <w:jc w:val="left"/>
            </w:pPr>
            <w:r>
              <w:t xml:space="preserve">Public Communications &amp; Media Relations Management</w:t>
            </w:r>
          </w:p>
        </w:tc>
        <w:tc>
          <w:tcPr/>
          <w:p>
            <w:pPr>
              <w:pStyle w:val="Compact"/>
              <w:jc w:val="left"/>
            </w:pPr>
            <w:r>
              <w:t xml:space="preserve">Monthly (12)</w:t>
            </w:r>
          </w:p>
        </w:tc>
        <w:tc>
          <w:tcPr/>
          <w:p>
            <w:pPr>
              <w:pStyle w:val="Compact"/>
              <w:jc w:val="left"/>
            </w:pPr>
            <w:r>
              <w:t xml:space="preserve">$3,200</w:t>
            </w:r>
          </w:p>
        </w:tc>
        <w:tc>
          <w:tcPr/>
          <w:p>
            <w:pPr>
              <w:pStyle w:val="Compact"/>
              <w:jc w:val="left"/>
            </w:pPr>
            <w:r>
              <w:t xml:space="preserve">$38,400</w:t>
            </w:r>
          </w:p>
        </w:tc>
        <w:tc>
          <w:tcPr/>
          <w:p>
            <w:pPr>
              <w:pStyle w:val="Compact"/>
              <w:jc w:val="left"/>
            </w:pPr>
            <w:r>
              <w:t xml:space="preserve">Press releases, media training, crisis comms</w:t>
            </w:r>
          </w:p>
        </w:tc>
      </w:tr>
      <w:tr>
        <w:tc>
          <w:tcPr/>
          <w:p>
            <w:pPr>
              <w:pStyle w:val="Compact"/>
              <w:jc w:val="left"/>
            </w:pPr>
            <w:r>
              <w:t xml:space="preserve">3</w:t>
            </w:r>
          </w:p>
        </w:tc>
        <w:tc>
          <w:tcPr/>
          <w:p>
            <w:pPr>
              <w:pStyle w:val="Compact"/>
              <w:jc w:val="left"/>
            </w:pPr>
            <w:r>
              <w:t xml:space="preserve">Constituency Outreach &amp; Grassroots Engagement Planning</w:t>
            </w:r>
          </w:p>
        </w:tc>
        <w:tc>
          <w:tcPr/>
          <w:p>
            <w:pPr>
              <w:pStyle w:val="Compact"/>
              <w:jc w:val="left"/>
            </w:pPr>
            <w:r>
              <w:t xml:space="preserve">Quarterly (4)</w:t>
            </w:r>
          </w:p>
        </w:tc>
        <w:tc>
          <w:tcPr/>
          <w:p>
            <w:pPr>
              <w:pStyle w:val="Compact"/>
              <w:jc w:val="left"/>
            </w:pPr>
            <w:r>
              <w:t xml:space="preserve">$6,800</w:t>
            </w:r>
          </w:p>
        </w:tc>
        <w:tc>
          <w:tcPr/>
          <w:p>
            <w:pPr>
              <w:pStyle w:val="Compact"/>
              <w:jc w:val="left"/>
            </w:pPr>
            <w:r>
              <w:t xml:space="preserve">$27,200</w:t>
            </w:r>
          </w:p>
        </w:tc>
        <w:tc>
          <w:tcPr/>
          <w:p>
            <w:pPr>
              <w:pStyle w:val="Compact"/>
              <w:jc w:val="left"/>
            </w:pPr>
            <w:r>
              <w:t xml:space="preserve">Covers Khartoum, Omdurman, Bahri</w:t>
            </w:r>
          </w:p>
        </w:tc>
      </w:tr>
      <w:tr>
        <w:tc>
          <w:tcPr/>
          <w:p>
            <w:pPr>
              <w:pStyle w:val="Compact"/>
              <w:jc w:val="left"/>
            </w:pPr>
            <w:r>
              <w:t xml:space="preserve">4</w:t>
            </w:r>
          </w:p>
        </w:tc>
        <w:tc>
          <w:tcPr/>
          <w:p>
            <w:pPr>
              <w:pStyle w:val="Compact"/>
              <w:jc w:val="left"/>
            </w:pPr>
            <w:r>
              <w:t xml:space="preserve">Legislative Research &amp; Bill Drafting Support</w:t>
            </w:r>
          </w:p>
        </w:tc>
        <w:tc>
          <w:tcPr/>
          <w:p>
            <w:pPr>
              <w:pStyle w:val="Compact"/>
              <w:jc w:val="left"/>
            </w:pPr>
            <w:r>
              <w:t xml:space="preserve">Monthly (12)</w:t>
            </w:r>
          </w:p>
        </w:tc>
        <w:tc>
          <w:tcPr/>
          <w:p>
            <w:pPr>
              <w:pStyle w:val="Compact"/>
              <w:jc w:val="left"/>
            </w:pPr>
            <w:r>
              <w:t xml:space="preserve">$2,800</w:t>
            </w:r>
          </w:p>
        </w:tc>
        <w:tc>
          <w:tcPr/>
          <w:p>
            <w:pPr>
              <w:pStyle w:val="Compact"/>
              <w:jc w:val="left"/>
            </w:pPr>
            <w:r>
              <w:t xml:space="preserve">$33,600</w:t>
            </w:r>
          </w:p>
        </w:tc>
        <w:tc>
          <w:tcPr/>
          <w:p>
            <w:pPr>
              <w:pStyle w:val="Compact"/>
              <w:jc w:val="left"/>
            </w:pPr>
            <w:r>
              <w:t xml:space="preserve">Arabic &amp; English deliverables</w:t>
            </w:r>
          </w:p>
        </w:tc>
      </w:tr>
      <w:tr>
        <w:tc>
          <w:tcPr/>
          <w:p>
            <w:pPr>
              <w:pStyle w:val="Compact"/>
              <w:jc w:val="left"/>
            </w:pPr>
            <w:r>
              <w:t xml:space="preserve">5</w:t>
            </w:r>
          </w:p>
        </w:tc>
        <w:tc>
          <w:tcPr/>
          <w:p>
            <w:pPr>
              <w:pStyle w:val="Compact"/>
              <w:jc w:val="left"/>
            </w:pPr>
            <w:r>
              <w:t xml:space="preserve">Campaign Strategy &amp; Voter Engagement (Election Cycle)</w:t>
            </w:r>
          </w:p>
        </w:tc>
        <w:tc>
          <w:tcPr/>
          <w:p>
            <w:pPr>
              <w:pStyle w:val="Compact"/>
              <w:jc w:val="left"/>
            </w:pPr>
            <w:r>
              <w:t xml:space="preserve">One-time</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Full 90-day campaign support</w:t>
            </w:r>
          </w:p>
        </w:tc>
      </w:tr>
      <w:tr>
        <w:tc>
          <w:tcPr/>
          <w:p>
            <w:pPr>
              <w:pStyle w:val="Compact"/>
              <w:jc w:val="left"/>
            </w:pPr>
            <w:r>
              <w:t xml:space="preserve">6</w:t>
            </w:r>
          </w:p>
        </w:tc>
        <w:tc>
          <w:tcPr/>
          <w:p>
            <w:pPr>
              <w:pStyle w:val="Compact"/>
              <w:jc w:val="left"/>
            </w:pPr>
            <w:r>
              <w:t xml:space="preserve">Digital Presence Management &amp; Social Media Strategy</w:t>
            </w:r>
          </w:p>
        </w:tc>
        <w:tc>
          <w:tcPr/>
          <w:p>
            <w:pPr>
              <w:pStyle w:val="Compact"/>
              <w:jc w:val="left"/>
            </w:pPr>
            <w:r>
              <w:t xml:space="preserve">Monthly (12)</w:t>
            </w:r>
          </w:p>
        </w:tc>
        <w:tc>
          <w:tcPr/>
          <w:p>
            <w:pPr>
              <w:pStyle w:val="Compact"/>
              <w:jc w:val="left"/>
            </w:pPr>
            <w:r>
              <w:t xml:space="preserve">$1,900</w:t>
            </w:r>
          </w:p>
        </w:tc>
        <w:tc>
          <w:tcPr/>
          <w:p>
            <w:pPr>
              <w:pStyle w:val="Compact"/>
              <w:jc w:val="left"/>
            </w:pPr>
            <w:r>
              <w:t xml:space="preserve">$22,800</w:t>
            </w:r>
          </w:p>
        </w:tc>
        <w:tc>
          <w:tcPr/>
          <w:p>
            <w:pPr>
              <w:pStyle w:val="Compact"/>
              <w:jc w:val="left"/>
            </w:pPr>
            <w:r>
              <w:t xml:space="preserve">Platform management, content calendar</w:t>
            </w:r>
          </w:p>
        </w:tc>
      </w:tr>
      <w:tr>
        <w:tc>
          <w:tcPr/>
          <w:p>
            <w:pPr>
              <w:pStyle w:val="Compact"/>
              <w:jc w:val="left"/>
            </w:pPr>
            <w:r>
              <w:t xml:space="preserve">7</w:t>
            </w:r>
          </w:p>
        </w:tc>
        <w:tc>
          <w:tcPr/>
          <w:p>
            <w:pPr>
              <w:pStyle w:val="Compact"/>
              <w:jc w:val="left"/>
            </w:pPr>
            <w:r>
              <w:t xml:space="preserve">Stakeholder Mapping &amp; Inter-Party Liaison Coordination</w:t>
            </w:r>
          </w:p>
        </w:tc>
        <w:tc>
          <w:tcPr/>
          <w:p>
            <w:pPr>
              <w:pStyle w:val="Compact"/>
              <w:jc w:val="left"/>
            </w:pPr>
            <w:r>
              <w:t xml:space="preserve">Monthly (12)</w:t>
            </w:r>
          </w:p>
        </w:tc>
        <w:tc>
          <w:tcPr/>
          <w:p>
            <w:pPr>
              <w:pStyle w:val="Compact"/>
              <w:jc w:val="left"/>
            </w:pPr>
            <w:r>
              <w:t xml:space="preserve">$2,400</w:t>
            </w:r>
          </w:p>
        </w:tc>
        <w:tc>
          <w:tcPr/>
          <w:p>
            <w:pPr>
              <w:pStyle w:val="Compact"/>
              <w:jc w:val="left"/>
            </w:pPr>
            <w:r>
              <w:t xml:space="preserve">$28,800</w:t>
            </w:r>
          </w:p>
        </w:tc>
        <w:tc>
          <w:tcPr/>
          <w:p>
            <w:pPr>
              <w:pStyle w:val="Compact"/>
              <w:jc w:val="left"/>
            </w:pPr>
            <w:r>
              <w:t xml:space="preserve">Local &amp; national political actors</w:t>
            </w:r>
          </w:p>
        </w:tc>
      </w:tr>
      <w:tr>
        <w:tc>
          <w:tcPr/>
          <w:p>
            <w:pPr>
              <w:pStyle w:val="Compact"/>
              <w:jc w:val="left"/>
            </w:pPr>
            <w:r>
              <w:t xml:space="preserve">8</w:t>
            </w:r>
          </w:p>
        </w:tc>
        <w:tc>
          <w:tcPr/>
          <w:p>
            <w:pPr>
              <w:pStyle w:val="Compact"/>
              <w:jc w:val="left"/>
            </w:pPr>
            <w:r>
              <w:t xml:space="preserve">Travel, Logistics &amp; Field Operations within Sudan Khartoum Region</w:t>
            </w:r>
          </w:p>
        </w:tc>
        <w:tc>
          <w:tcPr/>
          <w:p>
            <w:pPr>
              <w:pStyle w:val="Compact"/>
              <w:jc w:val="left"/>
            </w:pPr>
            <w:r>
              <w:t xml:space="preserve">Monthly (12)</w:t>
            </w:r>
          </w:p>
        </w:tc>
        <w:tc>
          <w:tcPr/>
          <w:p>
            <w:pPr>
              <w:pStyle w:val="Compact"/>
              <w:jc w:val="left"/>
            </w:pPr>
            <w:r>
              <w:t xml:space="preserve">$1,500</w:t>
            </w:r>
          </w:p>
        </w:tc>
        <w:tc>
          <w:tcPr/>
          <w:p>
            <w:pPr>
              <w:pStyle w:val="Compact"/>
              <w:jc w:val="left"/>
            </w:pPr>
            <w:r>
              <w:t xml:space="preserve">$18,000</w:t>
            </w:r>
          </w:p>
        </w:tc>
        <w:tc>
          <w:tcPr/>
          <w:p>
            <w:pPr>
              <w:pStyle w:val="Compact"/>
              <w:jc w:val="left"/>
            </w:pPr>
            <w:r>
              <w:t xml:space="preserve">Transport, venue booking, materials</w:t>
            </w:r>
          </w:p>
        </w:tc>
      </w:tr>
      <w:tr>
        <w:tc>
          <w:tcPr>
            <w:gridSpan w:val="4"/>
          </w:tcPr>
          <w:p>
            <w:pPr>
              <w:pStyle w:val="Compact"/>
              <w:jc w:val="left"/>
            </w:pPr>
            <w:r>
              <w:t xml:space="preserve">TOTAL ESTIMATED COST (Before Tax)</w:t>
            </w:r>
          </w:p>
        </w:tc>
        <w:tc>
          <w:tcPr/>
          <w:p>
            <w:pPr>
              <w:pStyle w:val="Compact"/>
              <w:jc w:val="left"/>
            </w:pPr>
            <w:r>
              <w:t xml:space="preserve">$247,800</w:t>
            </w:r>
          </w:p>
        </w:tc>
        <w:tc>
          <w:tcPr/>
          <w:p>
            <w:pPr>
              <w:pStyle w:val="Compact"/>
            </w:pPr>
          </w:p>
        </w:tc>
      </w:tr>
      <w:tr>
        <w:tc>
          <w:tcPr>
            <w:gridSpan w:val="4"/>
          </w:tcPr>
          <w:p>
            <w:pPr>
              <w:pStyle w:val="Compact"/>
              <w:jc w:val="left"/>
            </w:pPr>
            <w:r>
              <w:t xml:space="preserve">Applicable VAT / Service Tax (15% – Sudan Revenue Authority)</w:t>
            </w:r>
          </w:p>
        </w:tc>
        <w:tc>
          <w:tcPr/>
          <w:p>
            <w:pPr>
              <w:pStyle w:val="Compact"/>
              <w:jc w:val="left"/>
            </w:pPr>
            <w:r>
              <w:t xml:space="preserve">$37,170</w:t>
            </w:r>
          </w:p>
        </w:tc>
        <w:tc>
          <w:tcPr/>
          <w:p>
            <w:pPr>
              <w:pStyle w:val="Compact"/>
            </w:pPr>
          </w:p>
        </w:tc>
      </w:tr>
      <w:tr>
        <w:tc>
          <w:tcPr>
            <w:gridSpan w:val="4"/>
          </w:tcPr>
          <w:p>
            <w:pPr>
              <w:pStyle w:val="Compact"/>
              <w:jc w:val="left"/>
            </w:pPr>
            <w:r>
              <w:t xml:space="preserve">GRAND TOTAL</w:t>
            </w:r>
          </w:p>
        </w:tc>
        <w:tc>
          <w:tcPr/>
          <w:p>
            <w:pPr>
              <w:pStyle w:val="Compact"/>
              <w:jc w:val="left"/>
            </w:pPr>
            <w:r>
              <w:t xml:space="preserve">$284,970</w:t>
            </w:r>
          </w:p>
        </w:tc>
        <w:tc>
          <w:tcPr/>
          <w:p>
            <w:pPr>
              <w:pStyle w:val="Compact"/>
            </w:pP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requires re-confirmation of pricing and availability.</w:t>
      </w:r>
    </w:p>
    <w:p>
      <w:pPr>
        <w:numPr>
          <w:ilvl w:val="0"/>
          <w:numId w:val="1001"/>
        </w:numPr>
        <w:pStyle w:val="Compact"/>
      </w:pPr>
      <w:r>
        <w:t xml:space="preserve">Payment terms: 40% advance upon contract signing, 30% at the six-month milestone, and 30% upon completion of the twelve-month engagement period. All payments shall be made in USD via bank transfer to the consultancy's designated account in Khartoum.</w:t>
      </w:r>
    </w:p>
    <w:p>
      <w:pPr>
        <w:numPr>
          <w:ilvl w:val="0"/>
          <w:numId w:val="1001"/>
        </w:numPr>
        <w:pStyle w:val="Compact"/>
      </w:pPr>
      <w:r>
        <w:t xml:space="preserve">The</w:t>
      </w:r>
      <w:r>
        <w:t xml:space="preserve"> </w:t>
      </w:r>
      <w:r>
        <w:t xml:space="preserve">Politician</w:t>
      </w:r>
      <w:r>
        <w:t xml:space="preserve"> </w:t>
      </w:r>
      <w:r>
        <w:t xml:space="preserve">(client) shall provide timely access to legislative schedules, constituency data, and internal communications to ensure seamless service delivery.</w:t>
      </w:r>
    </w:p>
    <w:p>
      <w:pPr>
        <w:numPr>
          <w:ilvl w:val="0"/>
          <w:numId w:val="1001"/>
        </w:numPr>
        <w:pStyle w:val="Compact"/>
      </w:pPr>
      <w:r>
        <w:t xml:space="preserve">All work products, research documents, and strategic materials produced under this engagement shall remain the intellectual property of the client</w:t>
      </w:r>
      <w:r>
        <w:t xml:space="preserve"> </w:t>
      </w:r>
      <w:r>
        <w:t xml:space="preserve">Politician</w:t>
      </w:r>
      <w:r>
        <w:t xml:space="preserve"> </w:t>
      </w:r>
      <w:r>
        <w:t xml:space="preserve">upon full payment.</w:t>
      </w:r>
    </w:p>
    <w:p>
      <w:pPr>
        <w:numPr>
          <w:ilvl w:val="0"/>
          <w:numId w:val="1001"/>
        </w:numPr>
        <w:pStyle w:val="Compact"/>
      </w:pPr>
      <w:r>
        <w:t xml:space="preserve">Confidentiality: All information pertaining to the</w:t>
      </w:r>
      <w:r>
        <w:t xml:space="preserve"> </w:t>
      </w:r>
      <w:r>
        <w:t xml:space="preserve">Politician</w:t>
      </w:r>
      <w:r>
        <w:t xml:space="preserve">'s political strategy, voter data, and internal deliberations shall be treated as strictly confidential and shall not be disclosed to any third party without written consent.</w:t>
      </w:r>
    </w:p>
    <w:p>
      <w:pPr>
        <w:numPr>
          <w:ilvl w:val="0"/>
          <w:numId w:val="1001"/>
        </w:numPr>
        <w:pStyle w:val="Compact"/>
      </w:pPr>
      <w:r>
        <w:t xml:space="preserve">Force Majeure: In the event of civil unrest, government-imposed restrictions, or other extraordinary circumstances affecting operations in</w:t>
      </w:r>
      <w:r>
        <w:t xml:space="preserve"> </w:t>
      </w:r>
      <w:r>
        <w:t xml:space="preserve">Sudan Khartoum</w:t>
      </w:r>
      <w:r>
        <w:t xml:space="preserve">, either party may suspend services without penalty, with a written notice of no fewer than five (5) business days.</w:t>
      </w:r>
    </w:p>
    <w:p>
      <w:pPr>
        <w:numPr>
          <w:ilvl w:val="0"/>
          <w:numId w:val="1001"/>
        </w:numPr>
        <w:pStyle w:val="Compact"/>
      </w:pPr>
      <w:r>
        <w:t xml:space="preserve">Dispute resolution shall be governed by the laws of the Republic of Sudan, with jurisdiction vested in the competent courts of Khartoum.</w:t>
      </w:r>
    </w:p>
    <w:p>
      <w:pPr>
        <w:numPr>
          <w:ilvl w:val="0"/>
          <w:numId w:val="1001"/>
        </w:numPr>
        <w:pStyle w:val="Compact"/>
      </w:pPr>
      <w:r>
        <w:t xml:space="preserve">Any additional services beyond the scope outlined in this</w:t>
      </w:r>
      <w:r>
        <w:t xml:space="preserve"> </w:t>
      </w:r>
      <w:r>
        <w:t xml:space="preserve">Quotation Estimate</w:t>
      </w:r>
      <w:r>
        <w:t xml:space="preserve"> </w:t>
      </w:r>
      <w:r>
        <w:t xml:space="preserve">shall be subject to a separate written amendment and additional cost approval.</w:t>
      </w:r>
    </w:p>
    <w:bookmarkEnd w:id="23"/>
    <w:bookmarkStart w:id="24" w:name="acceptance-and-authorization"/>
    <w:p>
      <w:pPr>
        <w:pStyle w:val="Heading2"/>
      </w:pPr>
      <w:r>
        <w:t xml:space="preserve">4. Acceptance and Authorization</w:t>
      </w:r>
    </w:p>
    <w:p>
      <w:pPr>
        <w:pStyle w:val="FirstParagraph"/>
      </w:pPr>
      <w:r>
        <w:t xml:space="preserve">By signing below, the parties acknowledge that this</w:t>
      </w:r>
      <w:r>
        <w:t xml:space="preserve"> </w:t>
      </w:r>
      <w:r>
        <w:t xml:space="preserve">Quotation Estimate</w:t>
      </w:r>
      <w:r>
        <w:t xml:space="preserve"> </w:t>
      </w:r>
      <w:r>
        <w:t xml:space="preserve">constitutes a binding proposal for the professional services described herein, rendered in support of the</w:t>
      </w:r>
      <w:r>
        <w:t xml:space="preserve"> </w:t>
      </w:r>
      <w:r>
        <w:t xml:space="preserve">Politician</w:t>
      </w:r>
      <w:r>
        <w:t xml:space="preserve"> </w:t>
      </w:r>
      <w:r>
        <w:t xml:space="preserve">in the execution of public duties within</w:t>
      </w:r>
      <w:r>
        <w:t xml:space="preserve"> </w:t>
      </w:r>
      <w:r>
        <w:t xml:space="preserve">Sudan Khartoum</w:t>
      </w:r>
      <w:r>
        <w:t xml:space="preserve"> </w:t>
      </w:r>
      <w:r>
        <w:t xml:space="preserve">and its surrounding metropolitan areas.</w:t>
      </w:r>
    </w:p>
    <w:p>
      <w:pPr>
        <w:pStyle w:val="BodyText"/>
      </w:pPr>
      <w:r>
        <w:rPr>
          <w:bCs/>
          <w:b/>
        </w:rPr>
        <w:t xml:space="preserve">Prepared &amp; Issued By:</w:t>
      </w:r>
    </w:p>
    <w:p>
      <w:pPr>
        <w:pStyle w:val="BodyText"/>
      </w:pPr>
      <w:r>
        <w:t xml:space="preserve">Al-Nile Political Consultancy Group</w:t>
      </w:r>
    </w:p>
    <w:p>
      <w:pPr>
        <w:pStyle w:val="BodyText"/>
      </w:pPr>
      <w:r>
        <w:t xml:space="preserve">Authorized Representative</w:t>
      </w:r>
    </w:p>
    <w:p>
      <w:pPr>
        <w:pStyle w:val="BodyText"/>
      </w:pPr>
      <w:r>
        <w:t xml:space="preserve">Signature &amp; Date</w:t>
      </w:r>
    </w:p>
    <w:p>
      <w:pPr>
        <w:pStyle w:val="BodyText"/>
      </w:pPr>
      <w:r>
        <w:rPr>
          <w:bCs/>
          <w:b/>
        </w:rPr>
        <w:t xml:space="preserve">Accepted By (Client):</w:t>
      </w:r>
    </w:p>
    <w:p>
      <w:pPr>
        <w:pStyle w:val="BodyText"/>
      </w:pPr>
      <w:r>
        <w:t xml:space="preserve">Office of the Hon. Politician</w:t>
      </w:r>
    </w:p>
    <w:p>
      <w:pPr>
        <w:pStyle w:val="BodyText"/>
      </w:pPr>
      <w:r>
        <w:t xml:space="preserve">Parliamentary Delegate, Khartoum State</w:t>
      </w:r>
    </w:p>
    <w:p>
      <w:pPr>
        <w:pStyle w:val="BodyText"/>
      </w:pPr>
      <w:r>
        <w:t xml:space="preserve">Signature &amp; Date</w:t>
      </w:r>
    </w:p>
    <w:p>
      <w:pPr>
        <w:pStyle w:val="BodyText"/>
      </w:pPr>
      <w:r>
        <w:t xml:space="preserve">Al-Nile Political Consultancy Group | Omdurman Road, Khartoum, Sudan | Tel: +249-183-XXXXXX | Email: info@alnileconsultancy.sd</w:t>
      </w:r>
    </w:p>
    <w:p>
      <w:pPr>
        <w:pStyle w:val="BodyText"/>
      </w:pPr>
      <w:r>
        <w:t xml:space="preserve">This Quotation Estimate document QE-SUD-KRT-2025-0472 is issued exclusively for the named Politician client and is non-transferable.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Advisory Services - Sudan Khartoum</dc:title>
  <dc:creator/>
  <dc:language>en</dc:language>
  <cp:keywords/>
  <dcterms:created xsi:type="dcterms:W3CDTF">2026-10-10T04:21:53Z</dcterms:created>
  <dcterms:modified xsi:type="dcterms:W3CDTF">2026-10-10T04:21:53Z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