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Political Advisory &amp; Campaign Strategy Services</w:t>
      </w:r>
    </w:p>
    <w:p>
      <w:pPr>
        <w:pStyle w:val="BodyText"/>
      </w:pPr>
      <w:r>
        <w:t xml:space="preserve">Prepared for Political Engagement in Turkey Istanbul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QE-TUR-IST-2025-0472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Meridian Political Consulting Group, Ltd. – Istanbul Office</w:t>
            </w:r>
          </w:p>
        </w:tc>
      </w:tr>
      <w:tr>
        <w:tc>
          <w:tcPr/>
          <w:p>
            <w:pPr>
              <w:pStyle w:val="Compact"/>
              <w:jc w:val="left"/>
            </w:pPr>
            <w:r>
              <w:t xml:space="preserve">Address:</w:t>
            </w:r>
          </w:p>
        </w:tc>
        <w:tc>
          <w:tcPr/>
          <w:p>
            <w:pPr>
              <w:pStyle w:val="Compact"/>
              <w:jc w:val="left"/>
            </w:pPr>
            <w:r>
              <w:t xml:space="preserve">Levent Avenue, No. 42, 34330 Beşiktaş, Istanbul, Turkey</w:t>
            </w:r>
          </w:p>
        </w:tc>
      </w:tr>
      <w:tr>
        <w:tc>
          <w:tcPr/>
          <w:p>
            <w:pPr>
              <w:pStyle w:val="Compact"/>
              <w:jc w:val="left"/>
            </w:pPr>
            <w:r>
              <w:t xml:space="preserve">Client / Politician:</w:t>
            </w:r>
          </w:p>
        </w:tc>
        <w:tc>
          <w:tcPr/>
          <w:p>
            <w:pPr>
              <w:pStyle w:val="Compact"/>
              <w:jc w:val="left"/>
            </w:pPr>
            <w:r>
              <w:t xml:space="preserve">Mr. [Full Name], Candidate for Istanbul Metropolitan Municipality</w:t>
            </w:r>
          </w:p>
        </w:tc>
      </w:tr>
      <w:tr>
        <w:tc>
          <w:tcPr/>
          <w:p>
            <w:pPr>
              <w:pStyle w:val="Compact"/>
              <w:jc w:val="left"/>
            </w:pPr>
            <w:r>
              <w:t xml:space="preserve">Client Address:</w:t>
            </w:r>
          </w:p>
        </w:tc>
        <w:tc>
          <w:tcPr/>
          <w:p>
            <w:pPr>
              <w:pStyle w:val="Compact"/>
              <w:jc w:val="left"/>
            </w:pPr>
            <w:r>
              <w:t xml:space="preserve">Kadıköy District, Istanbul, Turkey</w:t>
            </w:r>
          </w:p>
        </w:tc>
      </w:tr>
      <w:tr>
        <w:tc>
          <w:tcPr/>
          <w:p>
            <w:pPr>
              <w:pStyle w:val="Compact"/>
              <w:jc w:val="left"/>
            </w:pPr>
            <w:r>
              <w:t xml:space="preserve">Currency:</w:t>
            </w:r>
          </w:p>
        </w:tc>
        <w:tc>
          <w:tcPr/>
          <w:p>
            <w:pPr>
              <w:pStyle w:val="Compact"/>
              <w:jc w:val="left"/>
            </w:pPr>
            <w:r>
              <w:t xml:space="preserve">United States Dollar (USD) / Turkish Lira (TRY) equivalent</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document is formally issued by Meridian Political Consulting Group, Ltd. to provide a comprehensive, itemized financial projection for the full spectrum of professional advisory, strategic planning, and campaign management services to be rendered to the designated</w:t>
      </w:r>
      <w:r>
        <w:t xml:space="preserve"> </w:t>
      </w:r>
      <w:r>
        <w:t xml:space="preserve">Politician</w:t>
      </w:r>
      <w:r>
        <w:t xml:space="preserve"> </w:t>
      </w:r>
      <w:r>
        <w:t xml:space="preserve">in connection with the upcoming local elections in</w:t>
      </w:r>
      <w:r>
        <w:t xml:space="preserve"> </w:t>
      </w:r>
      <w:r>
        <w:t xml:space="preserve">Turkey Istanbul</w:t>
      </w:r>
      <w:r>
        <w:t xml:space="preserve">. This estimate encompasses all anticipated deliverables, personnel allocations, logistical arrangements, and third-party vendor costs required to support the Politician's electoral campaign across the metropolitan districts of Istanbul, Turkey.</w:t>
      </w:r>
    </w:p>
    <w:p>
      <w:pPr>
        <w:pStyle w:val="BodyText"/>
      </w:pPr>
      <w:r>
        <w:t xml:space="preserve">The scope of services outlined herein has been developed in direct consultation with the Politician's campaign office and reflects the unique political landscape, demographic composition, media environment, and regulatory framework specific to Istanbul, Turkey. All pricing within this Quotation Estimate is based on current market rates as of the date of issue and is subject to the terms and conditions stated in Section 6.</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Quantity</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Political Strategist – Full-time engagement for campaign architecture, messaging development, and voter segmentation analysis specific to Istanbul, Turkey</w:t>
            </w:r>
          </w:p>
        </w:tc>
        <w:tc>
          <w:tcPr/>
          <w:p>
            <w:pPr>
              <w:pStyle w:val="Compact"/>
              <w:jc w:val="left"/>
            </w:pPr>
            <w:r>
              <w:t xml:space="preserve">6 months</w:t>
            </w:r>
          </w:p>
        </w:tc>
        <w:tc>
          <w:tcPr/>
          <w:p>
            <w:pPr>
              <w:pStyle w:val="Compact"/>
              <w:jc w:val="left"/>
            </w:pPr>
            <w:r>
              <w:t xml:space="preserve">12,500</w:t>
            </w:r>
          </w:p>
        </w:tc>
        <w:tc>
          <w:tcPr/>
          <w:p>
            <w:pPr>
              <w:pStyle w:val="Compact"/>
              <w:jc w:val="left"/>
            </w:pPr>
            <w:r>
              <w:t xml:space="preserve">6</w:t>
            </w:r>
          </w:p>
        </w:tc>
        <w:tc>
          <w:tcPr/>
          <w:p>
            <w:pPr>
              <w:pStyle w:val="Compact"/>
              <w:jc w:val="left"/>
            </w:pPr>
            <w:r>
              <w:t xml:space="preserve">75,000</w:t>
            </w:r>
          </w:p>
        </w:tc>
      </w:tr>
      <w:tr>
        <w:tc>
          <w:tcPr/>
          <w:p>
            <w:pPr>
              <w:pStyle w:val="Compact"/>
              <w:jc w:val="left"/>
            </w:pPr>
            <w:r>
              <w:t xml:space="preserve">02</w:t>
            </w:r>
          </w:p>
        </w:tc>
        <w:tc>
          <w:tcPr/>
          <w:p>
            <w:pPr>
              <w:pStyle w:val="Compact"/>
              <w:jc w:val="left"/>
            </w:pPr>
            <w:r>
              <w:t xml:space="preserve">Local Political Analyst Team (4 specialists) – District-level polling, focus groups, and opposition research across 39 Istanbul districts</w:t>
            </w:r>
          </w:p>
        </w:tc>
        <w:tc>
          <w:tcPr/>
          <w:p>
            <w:pPr>
              <w:pStyle w:val="Compact"/>
              <w:jc w:val="left"/>
            </w:pPr>
            <w:r>
              <w:t xml:space="preserve">6 months</w:t>
            </w:r>
          </w:p>
        </w:tc>
        <w:tc>
          <w:tcPr/>
          <w:p>
            <w:pPr>
              <w:pStyle w:val="Compact"/>
              <w:jc w:val="left"/>
            </w:pPr>
            <w:r>
              <w:t xml:space="preserve">4,200</w:t>
            </w:r>
          </w:p>
        </w:tc>
        <w:tc>
          <w:tcPr/>
          <w:p>
            <w:pPr>
              <w:pStyle w:val="Compact"/>
              <w:jc w:val="left"/>
            </w:pPr>
            <w:r>
              <w:t xml:space="preserve">24</w:t>
            </w:r>
          </w:p>
        </w:tc>
        <w:tc>
          <w:tcPr/>
          <w:p>
            <w:pPr>
              <w:pStyle w:val="Compact"/>
              <w:jc w:val="left"/>
            </w:pPr>
            <w:r>
              <w:t xml:space="preserve">100,800</w:t>
            </w:r>
          </w:p>
        </w:tc>
      </w:tr>
      <w:tr>
        <w:tc>
          <w:tcPr/>
          <w:p>
            <w:pPr>
              <w:pStyle w:val="Compact"/>
              <w:jc w:val="left"/>
            </w:pPr>
            <w:r>
              <w:t xml:space="preserve">03</w:t>
            </w:r>
          </w:p>
        </w:tc>
        <w:tc>
          <w:tcPr/>
          <w:p>
            <w:pPr>
              <w:pStyle w:val="Compact"/>
              <w:jc w:val="left"/>
            </w:pPr>
            <w:r>
              <w:t xml:space="preserve">Digital Campaign &amp; Social Media Management – Multi-platform content strategy, paid advertising, and crisis communication for the Politician's public image in Turkey Istanbul</w:t>
            </w:r>
          </w:p>
        </w:tc>
        <w:tc>
          <w:tcPr/>
          <w:p>
            <w:pPr>
              <w:pStyle w:val="Compact"/>
              <w:jc w:val="left"/>
            </w:pPr>
            <w:r>
              <w:t xml:space="preserve">6 months</w:t>
            </w:r>
          </w:p>
        </w:tc>
        <w:tc>
          <w:tcPr/>
          <w:p>
            <w:pPr>
              <w:pStyle w:val="Compact"/>
              <w:jc w:val="left"/>
            </w:pPr>
            <w:r>
              <w:t xml:space="preserve">8,750</w:t>
            </w:r>
          </w:p>
        </w:tc>
        <w:tc>
          <w:tcPr/>
          <w:p>
            <w:pPr>
              <w:pStyle w:val="Compact"/>
              <w:jc w:val="left"/>
            </w:pPr>
            <w:r>
              <w:t xml:space="preserve">6</w:t>
            </w:r>
          </w:p>
        </w:tc>
        <w:tc>
          <w:tcPr/>
          <w:p>
            <w:pPr>
              <w:pStyle w:val="Compact"/>
              <w:jc w:val="left"/>
            </w:pPr>
            <w:r>
              <w:t xml:space="preserve">52,500</w:t>
            </w:r>
          </w:p>
        </w:tc>
      </w:tr>
      <w:tr>
        <w:tc>
          <w:tcPr/>
          <w:p>
            <w:pPr>
              <w:pStyle w:val="Compact"/>
              <w:jc w:val="left"/>
            </w:pPr>
            <w:r>
              <w:t xml:space="preserve">04</w:t>
            </w:r>
          </w:p>
        </w:tc>
        <w:tc>
          <w:tcPr/>
          <w:p>
            <w:pPr>
              <w:pStyle w:val="Compact"/>
              <w:jc w:val="left"/>
            </w:pPr>
            <w:r>
              <w:t xml:space="preserve">Public Speaking &amp; Media Training – Weekly coaching sessions for the Politician including press conferences, televised debates, and town hall events in Istanbul</w:t>
            </w:r>
          </w:p>
        </w:tc>
        <w:tc>
          <w:tcPr/>
          <w:p>
            <w:pPr>
              <w:pStyle w:val="Compact"/>
              <w:jc w:val="left"/>
            </w:pPr>
            <w:r>
              <w:t xml:space="preserve">24 sessions</w:t>
            </w:r>
          </w:p>
        </w:tc>
        <w:tc>
          <w:tcPr/>
          <w:p>
            <w:pPr>
              <w:pStyle w:val="Compact"/>
              <w:jc w:val="left"/>
            </w:pPr>
            <w:r>
              <w:t xml:space="preserve">1,800</w:t>
            </w:r>
          </w:p>
        </w:tc>
        <w:tc>
          <w:tcPr/>
          <w:p>
            <w:pPr>
              <w:pStyle w:val="Compact"/>
              <w:jc w:val="left"/>
            </w:pPr>
            <w:r>
              <w:t xml:space="preserve">24</w:t>
            </w:r>
          </w:p>
        </w:tc>
        <w:tc>
          <w:tcPr/>
          <w:p>
            <w:pPr>
              <w:pStyle w:val="Compact"/>
              <w:jc w:val="left"/>
            </w:pPr>
            <w:r>
              <w:t xml:space="preserve">43,200</w:t>
            </w:r>
          </w:p>
        </w:tc>
      </w:tr>
      <w:tr>
        <w:tc>
          <w:tcPr/>
          <w:p>
            <w:pPr>
              <w:pStyle w:val="Compact"/>
              <w:jc w:val="left"/>
            </w:pPr>
            <w:r>
              <w:t xml:space="preserve">05</w:t>
            </w:r>
          </w:p>
        </w:tc>
        <w:tc>
          <w:tcPr/>
          <w:p>
            <w:pPr>
              <w:pStyle w:val="Compact"/>
              <w:jc w:val="left"/>
            </w:pPr>
            <w:r>
              <w:t xml:space="preserve">Event Production &amp; Logistics – Coordination of 40+ campaign rallies, voter outreach events, and community gatherings across Istanbul, Turkey</w:t>
            </w:r>
          </w:p>
        </w:tc>
        <w:tc>
          <w:tcPr/>
          <w:p>
            <w:pPr>
              <w:pStyle w:val="Compact"/>
              <w:jc w:val="left"/>
            </w:pPr>
            <w:r>
              <w:t xml:space="preserve">40 events</w:t>
            </w:r>
          </w:p>
        </w:tc>
        <w:tc>
          <w:tcPr/>
          <w:p>
            <w:pPr>
              <w:pStyle w:val="Compact"/>
              <w:jc w:val="left"/>
            </w:pPr>
            <w:r>
              <w:t xml:space="preserve">3,500</w:t>
            </w:r>
          </w:p>
        </w:tc>
        <w:tc>
          <w:tcPr/>
          <w:p>
            <w:pPr>
              <w:pStyle w:val="Compact"/>
              <w:jc w:val="left"/>
            </w:pPr>
            <w:r>
              <w:t xml:space="preserve">40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Legal &amp; Regulatory Compliance – Monitoring of Turkish electoral law, campaign finance reporting, and political advertising regulations applicable in Istanbul</w:t>
            </w:r>
          </w:p>
        </w:tc>
        <w:tc>
          <w:tcPr/>
          <w:p>
            <w:pPr>
              <w:pStyle w:val="Compact"/>
              <w:jc w:val="left"/>
            </w:pPr>
            <w:r>
              <w:t xml:space="preserve">6 months</w:t>
            </w:r>
          </w:p>
        </w:tc>
        <w:tc>
          <w:tcPr/>
          <w:p>
            <w:pPr>
              <w:pStyle w:val="Compact"/>
              <w:jc w:val="left"/>
            </w:pPr>
            <w:r>
              <w:t xml:space="preserve">6,000</w:t>
            </w:r>
          </w:p>
        </w:tc>
        <w:tc>
          <w:tcPr/>
          <w:p>
            <w:pPr>
              <w:pStyle w:val="Compact"/>
              <w:jc w:val="left"/>
            </w:pPr>
            <w:r>
              <w:t xml:space="preserve">6</w:t>
            </w:r>
          </w:p>
        </w:tc>
        <w:tc>
          <w:tcPr/>
          <w:p>
            <w:pPr>
              <w:pStyle w:val="Compact"/>
              <w:jc w:val="left"/>
            </w:pPr>
            <w:r>
              <w:t xml:space="preserve">36,000</w:t>
            </w:r>
          </w:p>
        </w:tc>
      </w:tr>
      <w:tr>
        <w:tc>
          <w:tcPr/>
          <w:p>
            <w:pPr>
              <w:pStyle w:val="Compact"/>
              <w:jc w:val="left"/>
            </w:pPr>
            <w:r>
              <w:t xml:space="preserve">07</w:t>
            </w:r>
          </w:p>
        </w:tc>
        <w:tc>
          <w:tcPr/>
          <w:p>
            <w:pPr>
              <w:pStyle w:val="Compact"/>
              <w:jc w:val="left"/>
            </w:pPr>
            <w:r>
              <w:t xml:space="preserve">Print &amp; Broadcast Media Production – Design and production of campaign materials, television spots, radio advertisements, and digital video content</w:t>
            </w:r>
          </w:p>
        </w:tc>
        <w:tc>
          <w:tcPr/>
          <w:p>
            <w:pPr>
              <w:pStyle w:val="Compact"/>
              <w:jc w:val="left"/>
            </w:pPr>
            <w:r>
              <w:t xml:space="preserve">6 months</w:t>
            </w:r>
          </w:p>
        </w:tc>
        <w:tc>
          <w:tcPr/>
          <w:p>
            <w:pPr>
              <w:pStyle w:val="Compact"/>
              <w:jc w:val="left"/>
            </w:pPr>
            <w:r>
              <w:t xml:space="preserve">9,500</w:t>
            </w:r>
          </w:p>
        </w:tc>
        <w:tc>
          <w:tcPr/>
          <w:p>
            <w:pPr>
              <w:pStyle w:val="Compact"/>
              <w:jc w:val="left"/>
            </w:pPr>
            <w:r>
              <w:t xml:space="preserve">6</w:t>
            </w:r>
          </w:p>
        </w:tc>
        <w:tc>
          <w:tcPr/>
          <w:p>
            <w:pPr>
              <w:pStyle w:val="Compact"/>
              <w:jc w:val="left"/>
            </w:pPr>
            <w:r>
              <w:t xml:space="preserve">57,000</w:t>
            </w:r>
          </w:p>
        </w:tc>
      </w:tr>
      <w:tr>
        <w:tc>
          <w:tcPr/>
          <w:p>
            <w:pPr>
              <w:pStyle w:val="Compact"/>
              <w:jc w:val="left"/>
            </w:pPr>
            <w:r>
              <w:t xml:space="preserve">08</w:t>
            </w:r>
          </w:p>
        </w:tc>
        <w:tc>
          <w:tcPr/>
          <w:p>
            <w:pPr>
              <w:pStyle w:val="Compact"/>
              <w:jc w:val="left"/>
            </w:pPr>
            <w:r>
              <w:t xml:space="preserve">Volunteer Recruitment &amp; Training Program – Structured onboarding, training, and deployment of 500+ field volunteers across Istanbul, Turkey</w:t>
            </w:r>
          </w:p>
        </w:tc>
        <w:tc>
          <w:tcPr/>
          <w:p>
            <w:pPr>
              <w:pStyle w:val="Compact"/>
              <w:jc w:val="left"/>
            </w:pPr>
            <w:r>
              <w:t xml:space="preserve">6 months</w:t>
            </w:r>
          </w:p>
        </w:tc>
        <w:tc>
          <w:tcPr/>
          <w:p>
            <w:pPr>
              <w:pStyle w:val="Compact"/>
              <w:jc w:val="left"/>
            </w:pPr>
            <w:r>
              <w:t xml:space="preserve">2,800</w:t>
            </w:r>
          </w:p>
        </w:tc>
        <w:tc>
          <w:tcPr/>
          <w:p>
            <w:pPr>
              <w:pStyle w:val="Compact"/>
              <w:jc w:val="left"/>
            </w:pPr>
            <w:r>
              <w:t xml:space="preserve">6</w:t>
            </w:r>
          </w:p>
        </w:tc>
        <w:tc>
          <w:tcPr/>
          <w:p>
            <w:pPr>
              <w:pStyle w:val="Compact"/>
              <w:jc w:val="left"/>
            </w:pPr>
            <w:r>
              <w:t xml:space="preserve">16,800</w:t>
            </w:r>
          </w:p>
        </w:tc>
      </w:tr>
      <w:tr>
        <w:tc>
          <w:tcPr/>
          <w:p>
            <w:pPr>
              <w:pStyle w:val="Compact"/>
              <w:jc w:val="left"/>
            </w:pPr>
            <w:r>
              <w:t xml:space="preserve">09</w:t>
            </w:r>
          </w:p>
        </w:tc>
        <w:tc>
          <w:tcPr/>
          <w:p>
            <w:pPr>
              <w:pStyle w:val="Compact"/>
              <w:jc w:val="left"/>
            </w:pPr>
            <w:r>
              <w:t xml:space="preserve">Post-Election Transition Advisory – Contingency planning, coalition negotiation support, and governance transition consulting for the Politician</w:t>
            </w:r>
          </w:p>
        </w:tc>
        <w:tc>
          <w:tcPr/>
          <w:p>
            <w:pPr>
              <w:pStyle w:val="Compact"/>
              <w:jc w:val="left"/>
            </w:pPr>
            <w:r>
              <w:t xml:space="preserve">3 months</w:t>
            </w:r>
          </w:p>
        </w:tc>
        <w:tc>
          <w:tcPr/>
          <w:p>
            <w:pPr>
              <w:pStyle w:val="Compact"/>
              <w:jc w:val="left"/>
            </w:pPr>
            <w:r>
              <w:t xml:space="preserve">7,500</w:t>
            </w:r>
          </w:p>
        </w:tc>
        <w:tc>
          <w:tcPr/>
          <w:p>
            <w:pPr>
              <w:pStyle w:val="Compact"/>
              <w:jc w:val="left"/>
            </w:pPr>
            <w:r>
              <w:t xml:space="preserve">3</w:t>
            </w:r>
          </w:p>
        </w:tc>
        <w:tc>
          <w:tcPr/>
          <w:p>
            <w:pPr>
              <w:pStyle w:val="Compact"/>
              <w:jc w:val="left"/>
            </w:pPr>
            <w:r>
              <w:t xml:space="preserve">22,500</w:t>
            </w:r>
          </w:p>
        </w:tc>
      </w:tr>
      <w:tr>
        <w:tc>
          <w:tcPr/>
          <w:p>
            <w:pPr>
              <w:pStyle w:val="Compact"/>
              <w:jc w:val="left"/>
            </w:pPr>
            <w:r>
              <w:t xml:space="preserve">10</w:t>
            </w:r>
          </w:p>
        </w:tc>
        <w:tc>
          <w:tcPr/>
          <w:p>
            <w:pPr>
              <w:pStyle w:val="Compact"/>
              <w:jc w:val="left"/>
            </w:pPr>
            <w:r>
              <w:t xml:space="preserve">Administrative Overhead &amp; Office Operations – Dedicated Istanbul office space, communications infrastructure, and support staff</w:t>
            </w:r>
          </w:p>
        </w:tc>
        <w:tc>
          <w:tcPr/>
          <w:p>
            <w:pPr>
              <w:pStyle w:val="Compact"/>
              <w:jc w:val="left"/>
            </w:pPr>
            <w:r>
              <w:t xml:space="preserve">9 months</w:t>
            </w:r>
          </w:p>
        </w:tc>
        <w:tc>
          <w:tcPr/>
          <w:p>
            <w:pPr>
              <w:pStyle w:val="Compact"/>
              <w:jc w:val="left"/>
            </w:pPr>
            <w:r>
              <w:t xml:space="preserve">5,200</w:t>
            </w:r>
          </w:p>
        </w:tc>
        <w:tc>
          <w:tcPr/>
          <w:p>
            <w:pPr>
              <w:pStyle w:val="Compact"/>
              <w:jc w:val="left"/>
            </w:pPr>
            <w:r>
              <w:t xml:space="preserve">9</w:t>
            </w:r>
          </w:p>
        </w:tc>
        <w:tc>
          <w:tcPr/>
          <w:p>
            <w:pPr>
              <w:pStyle w:val="Compact"/>
              <w:jc w:val="left"/>
            </w:pPr>
            <w:r>
              <w:t xml:space="preserve">46,800</w:t>
            </w:r>
          </w:p>
        </w:tc>
      </w:tr>
      <w:tr>
        <w:tc>
          <w:tcPr>
            <w:gridSpan w:val="5"/>
          </w:tcPr>
          <w:p>
            <w:pPr>
              <w:pStyle w:val="Compact"/>
              <w:jc w:val="right"/>
            </w:pPr>
            <w:r>
              <w:t xml:space="preserve">SUBTOTAL</w:t>
            </w:r>
          </w:p>
        </w:tc>
        <w:tc>
          <w:tcPr/>
          <w:p>
            <w:pPr>
              <w:pStyle w:val="Compact"/>
              <w:jc w:val="left"/>
            </w:pPr>
            <w:r>
              <w:t xml:space="preserve">590,600</w:t>
            </w:r>
          </w:p>
        </w:tc>
      </w:tr>
      <w:tr>
        <w:tc>
          <w:tcPr>
            <w:gridSpan w:val="5"/>
          </w:tcPr>
          <w:p>
            <w:pPr>
              <w:pStyle w:val="Compact"/>
              <w:jc w:val="right"/>
            </w:pPr>
            <w:r>
              <w:t xml:space="preserve">Applicable VAT (20% – Turkey)</w:t>
            </w:r>
          </w:p>
        </w:tc>
        <w:tc>
          <w:tcPr/>
          <w:p>
            <w:pPr>
              <w:pStyle w:val="Compact"/>
              <w:jc w:val="left"/>
            </w:pPr>
            <w:r>
              <w:t xml:space="preserve">118,120</w:t>
            </w:r>
          </w:p>
        </w:tc>
      </w:tr>
      <w:tr>
        <w:tc>
          <w:tcPr>
            <w:gridSpan w:val="5"/>
          </w:tcPr>
          <w:p>
            <w:pPr>
              <w:pStyle w:val="Compact"/>
              <w:jc w:val="right"/>
            </w:pPr>
            <w:r>
              <w:t xml:space="preserve">GRAND TOTAL</w:t>
            </w:r>
          </w:p>
        </w:tc>
        <w:tc>
          <w:tcPr/>
          <w:p>
            <w:pPr>
              <w:pStyle w:val="Compact"/>
              <w:jc w:val="left"/>
            </w:pPr>
            <w:r>
              <w:t xml:space="preserve">708,720</w:t>
            </w:r>
          </w:p>
        </w:tc>
      </w:tr>
    </w:tbl>
    <w:bookmarkEnd w:id="22"/>
    <w:bookmarkStart w:id="23" w:name="payment-schedule"/>
    <w:p>
      <w:pPr>
        <w:pStyle w:val="Heading2"/>
      </w:pPr>
      <w:r>
        <w:t xml:space="preserve">3. Payment Schedule</w:t>
      </w:r>
    </w:p>
    <w:p>
      <w:pPr>
        <w:pStyle w:val="FirstParagraph"/>
      </w:pPr>
      <w:r>
        <w:t xml:space="preserve">This Quotation Estimate stipulates the following payment milestones, all denominated in USD with equivalent TRY conversion at the Central Bank of Turkey's daily reference rate on the date of each invoice:</w:t>
      </w:r>
    </w:p>
    <w:p>
      <w:pPr>
        <w:pStyle w:val="BodyText"/>
      </w:pPr>
      <w:r>
        <w:rPr>
          <w:bCs/>
          <w:b/>
        </w:rPr>
        <w:t xml:space="preserve">Milestone 1:</w:t>
      </w:r>
      <w:r>
        <w:t xml:space="preserve"> </w:t>
      </w:r>
      <w:r>
        <w:t xml:space="preserve">25% upon execution of the service agreement and receipt of this Quotation Estimate approval – $177,180.00</w:t>
      </w:r>
    </w:p>
    <w:p>
      <w:pPr>
        <w:pStyle w:val="BodyText"/>
      </w:pPr>
      <w:r>
        <w:rPr>
          <w:bCs/>
          <w:b/>
        </w:rPr>
        <w:t xml:space="preserve">Milestone 2:</w:t>
      </w:r>
      <w:r>
        <w:t xml:space="preserve"> </w:t>
      </w:r>
      <w:r>
        <w:t xml:space="preserve">25% at the completion of Month 3 of the engagement – $177,180.00</w:t>
      </w:r>
    </w:p>
    <w:p>
      <w:pPr>
        <w:pStyle w:val="BodyText"/>
      </w:pPr>
      <w:r>
        <w:rPr>
          <w:bCs/>
          <w:b/>
        </w:rPr>
        <w:t xml:space="preserve">Milestone 3:</w:t>
      </w:r>
      <w:r>
        <w:t xml:space="preserve"> </w:t>
      </w:r>
      <w:r>
        <w:t xml:space="preserve">25% at the completion of Month 6 (election day) – $177,180.00</w:t>
      </w:r>
    </w:p>
    <w:p>
      <w:pPr>
        <w:pStyle w:val="BodyText"/>
      </w:pPr>
      <w:r>
        <w:rPr>
          <w:bCs/>
          <w:b/>
        </w:rPr>
        <w:t xml:space="preserve">Milestone 4:</w:t>
      </w:r>
      <w:r>
        <w:t xml:space="preserve"> </w:t>
      </w:r>
      <w:r>
        <w:t xml:space="preserve">25% upon completion of the post-election transition advisory period – $177,180.00</w:t>
      </w:r>
    </w:p>
    <w:bookmarkEnd w:id="23"/>
    <w:bookmarkStart w:id="24" w:name="assumptions-and-exclusions"/>
    <w:p>
      <w:pPr>
        <w:pStyle w:val="Heading2"/>
      </w:pPr>
      <w:r>
        <w:t xml:space="preserve">4. Assumptions and Exclusions</w:t>
      </w:r>
    </w:p>
    <w:p>
      <w:pPr>
        <w:pStyle w:val="FirstParagraph"/>
      </w:pPr>
      <w:r>
        <w:t xml:space="preserve">This Quotation Estimate assumes that the Politician will provide timely access to all necessary campaign materials, personal availability for scheduled training and events, and authorization for media placements in accordance with Turkish electoral law. The following are explicitly excluded from this estimate: personal travel expenses of the Politician beyond Istanbul metropolitan boundaries, costs of political donations or contributions to third parties, and any legal defense costs arising from electoral disputes. Should the scope of services in Turkey Istanbul expand beyond the parameters defined herein, a supplementary Quotation Estimate shall be issued for the Politician's written approval prior to any additional expenditure.</w:t>
      </w:r>
    </w:p>
    <w:bookmarkEnd w:id="24"/>
    <w:bookmarkStart w:id="25" w:name="validity-and-acceptance"/>
    <w:p>
      <w:pPr>
        <w:pStyle w:val="Heading2"/>
      </w:pPr>
      <w:r>
        <w:t xml:space="preserve">5. Validity and Acceptance</w:t>
      </w:r>
    </w:p>
    <w:p>
      <w:pPr>
        <w:pStyle w:val="FirstParagraph"/>
      </w:pPr>
      <w:r>
        <w:t xml:space="preserve">This Quotation Estimate remains valid for a period of ninety (90) calendar days from the date of issue. Acceptance of this estimate by the Politician or their authorized representative constitutes a binding agreement to the terms set forth herein. Any modifications to scope, timeline, or deliverables must be documented in a formal amendment to this Quotation Estimate and countersigned by both parties.</w:t>
      </w:r>
    </w:p>
    <w:bookmarkEnd w:id="25"/>
    <w:bookmarkStart w:id="26" w:name="terms-and-conditions"/>
    <w:p>
      <w:pPr>
        <w:pStyle w:val="Heading2"/>
      </w:pPr>
      <w:r>
        <w:t xml:space="preserve">6. Terms and Conditions</w:t>
      </w:r>
    </w:p>
    <w:p>
      <w:pPr>
        <w:pStyle w:val="FirstParagraph"/>
      </w:pPr>
      <w:r>
        <w:t xml:space="preserve">6.1. All services shall be performed in full compliance with the Political Parties Law (No. 2820), the Election Law (No. 298), and the Regulation on Political Propaganda as enforced by the Supreme Election Council (YSK) in Turkey Istanbul.</w:t>
      </w:r>
    </w:p>
    <w:p>
      <w:pPr>
        <w:pStyle w:val="BodyText"/>
      </w:pPr>
      <w:r>
        <w:t xml:space="preserve">6.2. The Politician grants Meridian Political Consulting Group, Ltd. a limited license to use their name, likeness, and campaign imagery solely for the purpose of executing the services described in this Quotation Estimate.</w:t>
      </w:r>
    </w:p>
    <w:p>
      <w:pPr>
        <w:pStyle w:val="BodyText"/>
      </w:pPr>
      <w:r>
        <w:t xml:space="preserve">6.3. Confidentiality obligations apply to all strategic materials, polling data, and internal communications exchanged between the Politician's office and the consulting team throughout the engagement in Turkey Istanbul.</w:t>
      </w:r>
    </w:p>
    <w:p>
      <w:pPr>
        <w:pStyle w:val="BodyText"/>
      </w:pPr>
      <w:r>
        <w:t xml:space="preserve">6.4. Disputes arising from this Quotation Estimate shall be resolved through arbitration in Istanbul, Turkey, in accordance with the rules of the Istanbul Arbitration Center (ISTAC).</w:t>
      </w:r>
    </w:p>
    <w:p>
      <w:pPr>
        <w:pStyle w:val="BodyText"/>
      </w:pPr>
      <w:r>
        <w:t xml:space="preserve">6.5. Force majeure events, including but not limited to natural disasters, government-imposed restrictions, or changes in electoral legislation in Turkey, may necessitate schedule adjustments without constituting breach of contract.</w:t>
      </w:r>
    </w:p>
    <w:bookmarkEnd w:id="26"/>
    <w:bookmarkStart w:id="27" w:name="authorization-and-signatures"/>
    <w:p>
      <w:pPr>
        <w:pStyle w:val="Heading2"/>
      </w:pPr>
      <w:r>
        <w:t xml:space="preserve">7. Authorization and Signatures</w:t>
      </w:r>
    </w:p>
    <w:p>
      <w:pPr>
        <w:pStyle w:val="FirstParagraph"/>
      </w:pPr>
      <w:r>
        <w:rPr>
          <w:bCs/>
          <w:b/>
        </w:rPr>
        <w:t xml:space="preserve">For Meridian Political Consulting Group, Ltd.</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the Politician / Campaign Office</w:t>
      </w:r>
    </w:p>
    <w:p>
      <w:pPr>
        <w:pStyle w:val="BodyText"/>
      </w:pPr>
      <w:r>
        <w:t xml:space="preserve">Name: ___________________________</w:t>
      </w:r>
    </w:p>
    <w:p>
      <w:pPr>
        <w:pStyle w:val="BodyText"/>
      </w:pPr>
      <w:r>
        <w:t xml:space="preserve">Title: Authorized Representative</w:t>
      </w:r>
    </w:p>
    <w:p>
      <w:pPr>
        <w:pStyle w:val="BodyText"/>
      </w:pPr>
      <w:r>
        <w:t xml:space="preserve">Signature: _________________________</w:t>
      </w:r>
    </w:p>
    <w:p>
      <w:pPr>
        <w:pStyle w:val="BodyText"/>
      </w:pPr>
      <w:r>
        <w:t xml:space="preserve">Date: ___________________________</w:t>
      </w:r>
    </w:p>
    <w:p>
      <w:pPr>
        <w:pStyle w:val="BodyText"/>
      </w:pPr>
      <w:r>
        <w:t xml:space="preserve">Quotation Estimate No. QE-TUR-IST-2025-0472 | Meridian Political Consulting Group, Ltd. | Istanbul, Turkey</w:t>
      </w:r>
    </w:p>
    <w:p>
      <w:pPr>
        <w:pStyle w:val="BodyText"/>
      </w:pPr>
      <w:r>
        <w:t xml:space="preserve">This document is confidential and intended solely for the Politician named herein. Unauthorized distribution is prohibited.</w:t>
      </w:r>
    </w:p>
    <w:p>
      <w:pPr>
        <w:pStyle w:val="BodyText"/>
      </w:pPr>
      <w:r>
        <w:t xml:space="preserve">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Turkey Istanbul</dc:title>
  <dc:creator/>
  <dc:language>en</dc:language>
  <cp:keywords/>
  <dcterms:created xsi:type="dcterms:W3CDTF">2026-10-10T12:43:24Z</dcterms:created>
  <dcterms:modified xsi:type="dcterms:W3CDTF">2026-10-10T12:43:24Z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