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Political Advisory &amp; Strategic Consulting Services</w:t>
      </w:r>
    </w:p>
    <w:p>
      <w:pPr>
        <w:pStyle w:val="BodyText"/>
      </w:pPr>
      <w:r>
        <w:t xml:space="preserve">United Arab Emirates — Dubai</w:t>
      </w:r>
    </w:p>
    <w:p>
      <w:pPr>
        <w:pStyle w:val="BodyText"/>
      </w:pPr>
      <w:r>
        <w:t xml:space="preserve">CONFIDENTIAL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QTE-DXB-2025-04871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Meridian Political Advisory Group LLC, Dubai, UAE</w:t>
            </w:r>
          </w:p>
        </w:tc>
        <w:tc>
          <w:tcPr/>
          <w:p>
            <w:pPr>
              <w:pStyle w:val="Compact"/>
              <w:jc w:val="left"/>
            </w:pPr>
            <w:r>
              <w:t xml:space="preserve">Reference:</w:t>
            </w:r>
          </w:p>
        </w:tc>
        <w:tc>
          <w:tcPr/>
          <w:p>
            <w:pPr>
              <w:pStyle w:val="Compact"/>
              <w:jc w:val="left"/>
            </w:pPr>
            <w:r>
              <w:t xml:space="preserve">MPAG/2025/DXB/04871</w:t>
            </w:r>
          </w:p>
        </w:tc>
      </w:tr>
      <w:tr>
        <w:tc>
          <w:tcPr/>
          <w:p>
            <w:pPr>
              <w:pStyle w:val="Compact"/>
              <w:jc w:val="left"/>
            </w:pPr>
            <w:r>
              <w:t xml:space="preserve">Prepared For:</w:t>
            </w:r>
          </w:p>
        </w:tc>
        <w:tc>
          <w:tcPr/>
          <w:p>
            <w:pPr>
              <w:pStyle w:val="Compact"/>
              <w:jc w:val="left"/>
            </w:pPr>
            <w:r>
              <w:t xml:space="preserve">Hon. Dr. Khalid Al Mansoori, Senior Politician &amp; Government Representative</w:t>
            </w:r>
          </w:p>
        </w:tc>
        <w:tc>
          <w:tcPr/>
          <w:p>
            <w:pPr>
              <w:pStyle w:val="Compact"/>
              <w:jc w:val="left"/>
            </w:pPr>
            <w:r>
              <w:t xml:space="preserve">Location:</w:t>
            </w:r>
          </w:p>
        </w:tc>
        <w:tc>
          <w:tcPr/>
          <w:p>
            <w:pPr>
              <w:pStyle w:val="Compact"/>
              <w:jc w:val="left"/>
            </w:pPr>
            <w:r>
              <w:t xml:space="preserve">Dubai, United Arab Emirates</w:t>
            </w:r>
          </w:p>
        </w:tc>
      </w:tr>
    </w:tbl>
    <w:p>
      <w:pPr>
        <w:pStyle w:val="BodyText"/>
      </w:pPr>
      <w:r>
        <w:t xml:space="preserve">1. Scope of Engagement</w:t>
      </w:r>
    </w:p>
    <w:p>
      <w:pPr>
        <w:pStyle w:val="BodyText"/>
      </w:pPr>
      <w:r>
        <w:t xml:space="preserve">This Quotation Estimate is issued by Meridian Political Advisory Group LLC (hereinafter referred to as "the Provider") to the Hon. Dr. Khalid Al Mansoori (hereinafter referred to as "the Politician Client") for the provision of comprehensive political advisory, strategic communication, and public affairs consulting services. The engagement is specifically tailored to support the Politician Client in fulfilling governmental and diplomatic responsibilities within the emirate of Dubai and across the broader United Arab Emirates. All services described herein are designed to align with the political, cultural, and regulatory framework of the United Arab Emirates Dubai, ensuring full compliance with local governance protocols, media regulations, and diplomatic conventions.</w:t>
      </w:r>
    </w:p>
    <w:p>
      <w:pPr>
        <w:pStyle w:val="BodyText"/>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Strategic Political Advisory &amp; Policy Briefing for the Politician Client, including preparation of policy position papers, legislative analysis, and governance strategy documents relevant to Dubai municipal and federal affairs.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Public Relations &amp; Media Management for the Politician Client, encompassing press conference coordination, media training, crisis communication planning, and management of public image across all United Arab Emirates Dubai-based and international media outlets.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Diplomatic Liaison &amp; Stakeholder Engagement Services, facilitating the Politician Client's interactions with federal ministries, emirate-level government bodies, international delegations, and private sector partners within Dubai and the wider UAE.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12</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Constitutional &amp; Regulatory Compliance Review, ensuring all public statements, policy proposals, and official communications issued by the Politician Client are in full accordance with UAE federal law, Dubai municipal regulations, and the UAE Constitution.</w:t>
            </w:r>
          </w:p>
        </w:tc>
        <w:tc>
          <w:tcPr/>
          <w:p>
            <w:pPr>
              <w:pStyle w:val="Compact"/>
              <w:jc w:val="left"/>
            </w:pPr>
            <w:r>
              <w:t xml:space="preserve">Quarterly</w:t>
            </w:r>
          </w:p>
        </w:tc>
        <w:tc>
          <w:tcPr/>
          <w:p>
            <w:pPr>
              <w:pStyle w:val="Compact"/>
              <w:jc w:val="left"/>
            </w:pPr>
            <w:r>
              <w:t xml:space="preserve">18,500</w:t>
            </w:r>
          </w:p>
        </w:tc>
        <w:tc>
          <w:tcPr/>
          <w:p>
            <w:pPr>
              <w:pStyle w:val="Compact"/>
              <w:jc w:val="left"/>
            </w:pPr>
            <w:r>
              <w:t xml:space="preserve">4</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Event Planning &amp; Execution for Official Political Functions, including state dinners, public town halls, parliamentary sessions, and ceremonial events hosted by the Politician Client in Dubai, United Arab Emirates.</w:t>
            </w:r>
          </w:p>
        </w:tc>
        <w:tc>
          <w:tcPr/>
          <w:p>
            <w:pPr>
              <w:pStyle w:val="Compact"/>
              <w:jc w:val="left"/>
            </w:pPr>
            <w:r>
              <w:t xml:space="preserve">Per event</w:t>
            </w:r>
          </w:p>
        </w:tc>
        <w:tc>
          <w:tcPr/>
          <w:p>
            <w:pPr>
              <w:pStyle w:val="Compact"/>
              <w:jc w:val="left"/>
            </w:pPr>
            <w:r>
              <w:t xml:space="preserve">55,000</w:t>
            </w:r>
          </w:p>
        </w:tc>
        <w:tc>
          <w:tcPr/>
          <w:p>
            <w:pPr>
              <w:pStyle w:val="Compact"/>
              <w:jc w:val="left"/>
            </w:pPr>
            <w:r>
              <w:t xml:space="preserve">6</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Digital Presence Management &amp; Social Media Strategy for the Politician Client, covering official website maintenance, social media content creation in Arabic and English, and digital engagement analytics for the Dubai and UAE audience.</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12</w:t>
            </w:r>
          </w:p>
        </w:tc>
        <w:tc>
          <w:tcPr/>
          <w:p>
            <w:pPr>
              <w:pStyle w:val="Compact"/>
              <w:jc w:val="left"/>
            </w:pPr>
            <w:r>
              <w:t xml:space="preserve">264,000</w:t>
            </w:r>
          </w:p>
        </w:tc>
      </w:tr>
      <w:tr>
        <w:tc>
          <w:tcPr/>
          <w:p>
            <w:pPr>
              <w:pStyle w:val="Compact"/>
              <w:jc w:val="left"/>
            </w:pPr>
            <w:r>
              <w:t xml:space="preserve">7</w:t>
            </w:r>
          </w:p>
        </w:tc>
        <w:tc>
          <w:tcPr/>
          <w:p>
            <w:pPr>
              <w:pStyle w:val="Compact"/>
              <w:jc w:val="left"/>
            </w:pPr>
            <w:r>
              <w:t xml:space="preserve">Research &amp; Intelligence Reports on Regional Political Dynamics, providing the Politician Client with monthly analytical briefings on Gulf Cooperation Council (GCC) political developments, UAE domestic policy shifts, and Dubai-specific economic and social indicators.</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On-Site Security &amp; Protocol Coordination for the Politician Client during official visits, public appearances, and diplomatic engagements across Dubai, United Arab Emirates, in coordination with Dubai Police and relevant federal security authorities.</w:t>
            </w:r>
          </w:p>
        </w:tc>
        <w:tc>
          <w:tcPr/>
          <w:p>
            <w:pPr>
              <w:pStyle w:val="Compact"/>
              <w:jc w:val="left"/>
            </w:pPr>
            <w:r>
              <w:t xml:space="preserve">Per engagement</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gridSpan w:val="5"/>
          </w:tcPr>
          <w:p>
            <w:pPr>
              <w:pStyle w:val="Compact"/>
              <w:jc w:val="left"/>
            </w:pPr>
            <w:r>
              <w:t xml:space="preserve">SUBTOTAL (AED)</w:t>
            </w:r>
          </w:p>
        </w:tc>
        <w:tc>
          <w:tcPr/>
          <w:p>
            <w:pPr>
              <w:pStyle w:val="Compact"/>
              <w:jc w:val="left"/>
            </w:pPr>
            <w:r>
              <w:t xml:space="preserve">2,396,000</w:t>
            </w:r>
          </w:p>
        </w:tc>
      </w:tr>
      <w:tr>
        <w:tc>
          <w:tcPr>
            <w:gridSpan w:val="5"/>
          </w:tcPr>
          <w:p>
            <w:pPr>
              <w:pStyle w:val="Compact"/>
              <w:jc w:val="left"/>
            </w:pPr>
            <w:r>
              <w:t xml:space="preserve">VAT (5% — United Arab Emirates Federal Tax Authority)</w:t>
            </w:r>
          </w:p>
        </w:tc>
        <w:tc>
          <w:tcPr/>
          <w:p>
            <w:pPr>
              <w:pStyle w:val="Compact"/>
              <w:jc w:val="left"/>
            </w:pPr>
            <w:r>
              <w:t xml:space="preserve">119,800</w:t>
            </w:r>
          </w:p>
        </w:tc>
      </w:tr>
      <w:tr>
        <w:tc>
          <w:tcPr>
            <w:gridSpan w:val="5"/>
          </w:tcPr>
          <w:p>
            <w:pPr>
              <w:pStyle w:val="Compact"/>
              <w:jc w:val="left"/>
            </w:pPr>
            <w:r>
              <w:t xml:space="preserve">GRAND TOTAL (AED)</w:t>
            </w:r>
          </w:p>
        </w:tc>
        <w:tc>
          <w:tcPr/>
          <w:p>
            <w:pPr>
              <w:pStyle w:val="Compact"/>
              <w:jc w:val="left"/>
            </w:pPr>
            <w:r>
              <w:t xml:space="preserve">2,515,800</w:t>
            </w:r>
          </w:p>
        </w:tc>
      </w:tr>
    </w:tbl>
    <w:p>
      <w:pPr>
        <w:pStyle w:val="BodyText"/>
      </w:pPr>
      <w:r>
        <w:t xml:space="preserve">3. Terms &amp; Conditions</w:t>
      </w:r>
    </w:p>
    <w:p>
      <w:pPr>
        <w:numPr>
          <w:ilvl w:val="0"/>
          <w:numId w:val="1001"/>
        </w:numPr>
        <w:pStyle w:val="Compact"/>
      </w:pPr>
      <w:r>
        <w:t xml:space="preserve">This Quotation Estimate is valid for a period of thirty (30) calendar days from the date of issue. Beyond this period, all rates and service inclusions are subject to revision by the Provider.</w:t>
      </w:r>
    </w:p>
    <w:p>
      <w:pPr>
        <w:numPr>
          <w:ilvl w:val="0"/>
          <w:numId w:val="1001"/>
        </w:numPr>
        <w:pStyle w:val="Compact"/>
      </w:pPr>
      <w:r>
        <w:t xml:space="preserve">Payment terms: 40% advance payment upon acceptance of this Quotation Estimate, 30% upon completion of the sixth (6th) month of service delivery, and the remaining 30% upon successful completion of the full twelve-month engagement period.</w:t>
      </w:r>
    </w:p>
    <w:p>
      <w:pPr>
        <w:numPr>
          <w:ilvl w:val="0"/>
          <w:numId w:val="1001"/>
        </w:numPr>
        <w:pStyle w:val="Compact"/>
      </w:pPr>
      <w:r>
        <w:t xml:space="preserve">All payments shall be made in United Arab Emirates Dirhams (AED) via bank transfer to the Provider's designated corporate account held with a licensed financial institution in Dubai, United Arab Emirates.</w:t>
      </w:r>
    </w:p>
    <w:p>
      <w:pPr>
        <w:numPr>
          <w:ilvl w:val="0"/>
          <w:numId w:val="1001"/>
        </w:numPr>
        <w:pStyle w:val="Compact"/>
      </w:pPr>
      <w:r>
        <w:t xml:space="preserve">The Politician Client agrees to provide all necessary official credentials, government authorizations, and institutional approvals required for the Provider to execute the services outlined in this Quotation Estimate within the jurisdiction of Dubai and the United Arab Emirates.</w:t>
      </w:r>
    </w:p>
    <w:p>
      <w:pPr>
        <w:numPr>
          <w:ilvl w:val="0"/>
          <w:numId w:val="1001"/>
        </w:numPr>
        <w:pStyle w:val="Compact"/>
      </w:pPr>
      <w:r>
        <w:t xml:space="preserve">Confidentiality: All documents, strategies, communications, and intelligence materials prepared under this engagement shall be treated as strictly confidential. The Provider shall not disclose any information pertaining to the Politician Client to any third party without prior written consent, in accordance with UAE Federal Decree-Law No. 46 of 2021 on the Protection of Personal Data.</w:t>
      </w:r>
    </w:p>
    <w:p>
      <w:pPr>
        <w:numPr>
          <w:ilvl w:val="0"/>
          <w:numId w:val="1001"/>
        </w:numPr>
        <w:pStyle w:val="Compact"/>
      </w:pPr>
      <w:r>
        <w:t xml:space="preserve">Force Majeure: Neither party shall be held liable for failure to perform obligations due to events beyond reasonable control, including but not limited to acts of government, natural disasters, or changes in UAE federal or Dubai municipal legislation.</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referred to the Dubai International Financial Centre (DIFC) Courts for arbitration in accordance with the DIFC Arbitration Rules.</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4. Acceptance &amp; Authorization</w:t>
      </w:r>
    </w:p>
    <w:p>
      <w:pPr>
        <w:pStyle w:val="BodyText"/>
      </w:pPr>
      <w:r>
        <w:t xml:space="preserve">By signing below, both parties acknowledge that they have read, understood, and agree to all terms, conditions, and service inclusions detailed in this Quotation Estimate for Political Advisory Services in United Arab Emirates Dubai.</w:t>
      </w:r>
    </w:p>
    <w:p>
      <w:pPr>
        <w:pStyle w:val="BodyText"/>
      </w:pPr>
      <w:r>
        <w:rPr>
          <w:bCs/>
          <w:b/>
        </w:rPr>
        <w:t xml:space="preserve">For the Provider</w:t>
      </w:r>
      <w:r>
        <w:br/>
      </w:r>
      <w:r>
        <w:t xml:space="preserve">Meridian Political Advisory Group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Politician Client</w:t>
      </w:r>
      <w:r>
        <w:br/>
      </w:r>
      <w:r>
        <w:t xml:space="preserve">Hon. Dr. Khalid Al Mansoori</w:t>
      </w:r>
      <w:r>
        <w:br/>
      </w:r>
      <w:r>
        <w:t xml:space="preserve">Name: _________________________</w:t>
      </w:r>
      <w:r>
        <w:br/>
      </w:r>
      <w:r>
        <w:t xml:space="preserve">Title: Senior Government Representative</w:t>
      </w:r>
      <w:r>
        <w:br/>
      </w:r>
      <w:r>
        <w:t xml:space="preserve">Date: _________________________</w:t>
      </w:r>
    </w:p>
    <w:p>
      <w:pPr>
        <w:pStyle w:val="BodyText"/>
      </w:pPr>
      <w:r>
        <w:t xml:space="preserve">Meridian Political Advisory Group LLC • Office 1204, Level 12, Marina Plaza, Dubai Marina, Dubai, United Arab Emirates</w:t>
      </w:r>
    </w:p>
    <w:p>
      <w:pPr>
        <w:pStyle w:val="BodyText"/>
      </w:pPr>
      <w:r>
        <w:t xml:space="preserve">TRN: 100234567800003 • CR: 1234567 • Tel: +971 4 555 0192 • Email: quotations@meridianpolitical.ae</w:t>
      </w:r>
    </w:p>
    <w:p>
      <w:pPr>
        <w:pStyle w:val="BodyText"/>
      </w:pPr>
      <w:r>
        <w:t xml:space="preserve">This Quotation Estimate document is generated electronically and is valid without a physical stamp. © 2025 Meridian Political Advisory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United Arab Emirates Dubai</dc:title>
  <dc:creator/>
  <dc:language>en</dc:language>
  <cp:keywords/>
  <dcterms:created xsi:type="dcterms:W3CDTF">2026-10-10T07:07:53Z</dcterms:created>
  <dcterms:modified xsi:type="dcterms:W3CDTF">2026-10-10T07:07:53Z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