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quotation-estimate"/>
    <w:p>
      <w:pPr>
        <w:pStyle w:val="Heading1"/>
      </w:pPr>
      <w:r>
        <w:t xml:space="preserve">QUOTATION ESTIMATE</w:t>
      </w:r>
    </w:p>
    <w:p>
      <w:pPr>
        <w:pStyle w:val="FirstParagraph"/>
      </w:pPr>
      <w:r>
        <w:t xml:space="preserve">Political Advisory &amp; Campaign Strategy Services</w:t>
      </w:r>
    </w:p>
    <w:p>
      <w:pPr>
        <w:pStyle w:val="BodyText"/>
      </w:pPr>
      <w:r>
        <w:t xml:space="preserve">Prepared for Use in Vietnam Ho Chi Minh City</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QTE-HCMC-2025-0472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Service Provider:</w:t>
            </w:r>
          </w:p>
        </w:tc>
        <w:tc>
          <w:tcPr/>
          <w:p>
            <w:pPr>
              <w:pStyle w:val="Compact"/>
              <w:jc w:val="left"/>
            </w:pPr>
            <w:r>
              <w:t xml:space="preserve">Mr. Nguyen Van Thanh – Senior Political Consultant &amp; Former Politician</w:t>
            </w:r>
          </w:p>
        </w:tc>
      </w:tr>
      <w:tr>
        <w:tc>
          <w:tcPr/>
          <w:p>
            <w:pPr>
              <w:pStyle w:val="Compact"/>
              <w:jc w:val="left"/>
            </w:pPr>
            <w:r>
              <w:t xml:space="preserve">Provider Address:</w:t>
            </w:r>
          </w:p>
        </w:tc>
        <w:tc>
          <w:tcPr/>
          <w:p>
            <w:pPr>
              <w:pStyle w:val="Compact"/>
              <w:jc w:val="left"/>
            </w:pPr>
            <w:r>
              <w:t xml:space="preserve">128 Le Duan Street, District 3, Ho Chi Minh City, Vietnam</w:t>
            </w:r>
          </w:p>
        </w:tc>
      </w:tr>
      <w:tr>
        <w:tc>
          <w:tcPr/>
          <w:p>
            <w:pPr>
              <w:pStyle w:val="Compact"/>
              <w:jc w:val="left"/>
            </w:pPr>
            <w:r>
              <w:t xml:space="preserve">Client / Requesting Party:</w:t>
            </w:r>
          </w:p>
        </w:tc>
        <w:tc>
          <w:tcPr/>
          <w:p>
            <w:pPr>
              <w:pStyle w:val="Compact"/>
              <w:jc w:val="left"/>
            </w:pPr>
            <w:r>
              <w:t xml:space="preserve">Ho Chi Minh City Municipal Development Council</w:t>
            </w:r>
          </w:p>
        </w:tc>
      </w:tr>
      <w:tr>
        <w:tc>
          <w:tcPr/>
          <w:p>
            <w:pPr>
              <w:pStyle w:val="Compact"/>
              <w:jc w:val="left"/>
            </w:pPr>
            <w:r>
              <w:t xml:space="preserve">Client Address:</w:t>
            </w:r>
          </w:p>
        </w:tc>
        <w:tc>
          <w:tcPr/>
          <w:p>
            <w:pPr>
              <w:pStyle w:val="Compact"/>
              <w:jc w:val="left"/>
            </w:pPr>
            <w:r>
              <w:t xml:space="preserve">60 Le Thanh Ton Street, District 1, Ho Chi Minh City, Vietnam</w:t>
            </w:r>
          </w:p>
        </w:tc>
      </w:tr>
      <w:tr>
        <w:tc>
          <w:tcPr/>
          <w:p>
            <w:pPr>
              <w:pStyle w:val="Compact"/>
              <w:jc w:val="left"/>
            </w:pPr>
            <w:r>
              <w:t xml:space="preserve">Currency:</w:t>
            </w:r>
          </w:p>
        </w:tc>
        <w:tc>
          <w:tcPr/>
          <w:p>
            <w:pPr>
              <w:pStyle w:val="Compact"/>
              <w:jc w:val="left"/>
            </w:pPr>
            <w:r>
              <w:t xml:space="preserve">Vietnamese Dong (VND) / US Dollar (USD)</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costs associated with the engagement of a qualified</w:t>
      </w:r>
      <w:r>
        <w:t xml:space="preserve"> </w:t>
      </w:r>
      <w:r>
        <w:t xml:space="preserve">Politician</w:t>
      </w:r>
      <w:r>
        <w:t xml:space="preserve"> </w:t>
      </w:r>
      <w:r>
        <w:t xml:space="preserve">and political advisory professional for strategic consulting services to be delivered within the jurisdiction of</w:t>
      </w:r>
      <w:r>
        <w:t xml:space="preserve"> </w:t>
      </w:r>
      <w:r>
        <w:t xml:space="preserve">Vietnam Ho Chi Minh City</w:t>
      </w:r>
      <w:r>
        <w:t xml:space="preserve">. The services outlined herein are intended to support municipal governance initiatives, public policy development, community engagement strategy, and electoral communication planning in accordance with the laws and regulations of the Socialist Republic of Vietnam.</w:t>
      </w:r>
    </w:p>
    <w:p>
      <w:pPr>
        <w:pStyle w:val="BodyText"/>
      </w:pPr>
      <w:r>
        <w:t xml:space="preserve">The</w:t>
      </w:r>
      <w:r>
        <w:t xml:space="preserve"> </w:t>
      </w:r>
      <w:r>
        <w:t xml:space="preserve">Politician</w:t>
      </w:r>
      <w:r>
        <w:t xml:space="preserve"> </w:t>
      </w:r>
      <w:r>
        <w:t xml:space="preserve">engaged under this Quotation Estimate brings over twenty-five years of experience in public service, legislative affairs, and civic leadership in the Ho Chi Minh City metropolitan region. All services will be conducted in full compliance with the Vietnamese Constitution, the Law on Election of Deputies to the National Assembly and People's Councils, and all applicable municipal ordinances governing political advisory engagements in Ho Chi Minh City.</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(VND)</w:t>
            </w:r>
          </w:p>
        </w:tc>
        <w:tc>
          <w:tcPr/>
          <w:p>
            <w:pPr>
              <w:pStyle w:val="Compact"/>
              <w:jc w:val="left"/>
            </w:pPr>
            <w:r>
              <w:t xml:space="preserve">Subtotal (VND)</w:t>
            </w:r>
          </w:p>
        </w:tc>
      </w:tr>
      <w:tr>
        <w:tc>
          <w:tcPr/>
          <w:p>
            <w:pPr>
              <w:pStyle w:val="Compact"/>
              <w:jc w:val="left"/>
            </w:pPr>
            <w:r>
              <w:t xml:space="preserve">1</w:t>
            </w:r>
          </w:p>
        </w:tc>
        <w:tc>
          <w:tcPr/>
          <w:p>
            <w:pPr>
              <w:pStyle w:val="Compact"/>
              <w:jc w:val="left"/>
            </w:pPr>
            <w:r>
              <w:t xml:space="preserve">Strategic Political Advisory Session – One-on-one consultation with the</w:t>
            </w:r>
            <w:r>
              <w:t xml:space="preserve"> </w:t>
            </w:r>
            <w:r>
              <w:t xml:space="preserve">Politician</w:t>
            </w:r>
            <w:r>
              <w:t xml:space="preserve"> </w:t>
            </w:r>
            <w:r>
              <w:t xml:space="preserve">on municipal policy alignment, governance reform, and legislative strategy for Ho Chi Minh City</w:t>
            </w:r>
          </w:p>
        </w:tc>
        <w:tc>
          <w:tcPr/>
          <w:p>
            <w:pPr>
              <w:pStyle w:val="Compact"/>
              <w:jc w:val="left"/>
            </w:pPr>
            <w:r>
              <w:t xml:space="preserve">8 hours</w:t>
            </w:r>
          </w:p>
        </w:tc>
        <w:tc>
          <w:tcPr/>
          <w:p>
            <w:pPr>
              <w:pStyle w:val="Compact"/>
              <w:jc w:val="left"/>
            </w:pPr>
            <w:r>
              <w:t xml:space="preserve">2,500,000</w:t>
            </w:r>
          </w:p>
        </w:tc>
        <w:tc>
          <w:tcPr/>
          <w:p>
            <w:pPr>
              <w:pStyle w:val="Compact"/>
              <w:jc w:val="left"/>
            </w:pPr>
            <w:r>
              <w:t xml:space="preserve">20,000,000</w:t>
            </w:r>
          </w:p>
        </w:tc>
      </w:tr>
      <w:tr>
        <w:tc>
          <w:tcPr/>
          <w:p>
            <w:pPr>
              <w:pStyle w:val="Compact"/>
              <w:jc w:val="left"/>
            </w:pPr>
            <w:r>
              <w:t xml:space="preserve">2</w:t>
            </w:r>
          </w:p>
        </w:tc>
        <w:tc>
          <w:tcPr/>
          <w:p>
            <w:pPr>
              <w:pStyle w:val="Compact"/>
              <w:jc w:val="left"/>
            </w:pPr>
            <w:r>
              <w:t xml:space="preserve">Public Speaking &amp; Community Engagement – The</w:t>
            </w:r>
            <w:r>
              <w:t xml:space="preserve"> </w:t>
            </w:r>
            <w:r>
              <w:t xml:space="preserve">Politician</w:t>
            </w:r>
            <w:r>
              <w:t xml:space="preserve"> </w:t>
            </w:r>
            <w:r>
              <w:t xml:space="preserve">shall deliver keynote addresses at three (3) public forums in District 1, District 3, and Binh Thanh District of Ho Chi Minh City</w:t>
            </w:r>
          </w:p>
        </w:tc>
        <w:tc>
          <w:tcPr/>
          <w:p>
            <w:pPr>
              <w:pStyle w:val="Compact"/>
              <w:jc w:val="left"/>
            </w:pPr>
            <w:r>
              <w:t xml:space="preserve">3 events</w:t>
            </w:r>
          </w:p>
        </w:tc>
        <w:tc>
          <w:tcPr/>
          <w:p>
            <w:pPr>
              <w:pStyle w:val="Compact"/>
              <w:jc w:val="left"/>
            </w:pPr>
            <w:r>
              <w:t xml:space="preserve">15,000,000</w:t>
            </w:r>
          </w:p>
        </w:tc>
        <w:tc>
          <w:tcPr/>
          <w:p>
            <w:pPr>
              <w:pStyle w:val="Compact"/>
              <w:jc w:val="left"/>
            </w:pPr>
            <w:r>
              <w:t xml:space="preserve">45,000,000</w:t>
            </w:r>
          </w:p>
        </w:tc>
      </w:tr>
      <w:tr>
        <w:tc>
          <w:tcPr/>
          <w:p>
            <w:pPr>
              <w:pStyle w:val="Compact"/>
              <w:jc w:val="left"/>
            </w:pPr>
            <w:r>
              <w:t xml:space="preserve">3</w:t>
            </w:r>
          </w:p>
        </w:tc>
        <w:tc>
          <w:tcPr/>
          <w:p>
            <w:pPr>
              <w:pStyle w:val="Compact"/>
              <w:jc w:val="left"/>
            </w:pPr>
            <w:r>
              <w:t xml:space="preserve">Policy White Paper Development – Research, drafting, and presentation of a comprehensive policy framework document addressing urban development, economic growth, and social welfare in Vietnam Ho Chi Minh City</w:t>
            </w:r>
          </w:p>
        </w:tc>
        <w:tc>
          <w:tcPr/>
          <w:p>
            <w:pPr>
              <w:pStyle w:val="Compact"/>
              <w:jc w:val="left"/>
            </w:pPr>
            <w:r>
              <w:t xml:space="preserve">1 deliverable</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4</w:t>
            </w:r>
          </w:p>
        </w:tc>
        <w:tc>
          <w:tcPr/>
          <w:p>
            <w:pPr>
              <w:pStyle w:val="Compact"/>
              <w:jc w:val="left"/>
            </w:pPr>
            <w:r>
              <w:t xml:space="preserve">Campaign Communication Strategy – Design of a multi-channel public communication plan including press briefing protocols, social media engagement guidelines, and media relations strategy for the</w:t>
            </w:r>
            <w:r>
              <w:t xml:space="preserve"> </w:t>
            </w:r>
            <w:r>
              <w:t xml:space="preserve">Politician</w:t>
            </w:r>
            <w:r>
              <w:t xml:space="preserve">'s public-facing activities in Ho Chi Minh City</w:t>
            </w:r>
          </w:p>
        </w:tc>
        <w:tc>
          <w:tcPr/>
          <w:p>
            <w:pPr>
              <w:pStyle w:val="Compact"/>
              <w:jc w:val="left"/>
            </w:pPr>
            <w:r>
              <w:t xml:space="preserve">12 weeks</w:t>
            </w:r>
          </w:p>
        </w:tc>
        <w:tc>
          <w:tcPr/>
          <w:p>
            <w:pPr>
              <w:pStyle w:val="Compact"/>
              <w:jc w:val="left"/>
            </w:pPr>
            <w:r>
              <w:t xml:space="preserve">8,000,000</w:t>
            </w:r>
          </w:p>
        </w:tc>
        <w:tc>
          <w:tcPr/>
          <w:p>
            <w:pPr>
              <w:pStyle w:val="Compact"/>
              <w:jc w:val="left"/>
            </w:pPr>
            <w:r>
              <w:t xml:space="preserve">96,000,000</w:t>
            </w:r>
          </w:p>
        </w:tc>
      </w:tr>
      <w:tr>
        <w:tc>
          <w:tcPr/>
          <w:p>
            <w:pPr>
              <w:pStyle w:val="Compact"/>
              <w:jc w:val="left"/>
            </w:pPr>
            <w:r>
              <w:t xml:space="preserve">5</w:t>
            </w:r>
          </w:p>
        </w:tc>
        <w:tc>
          <w:tcPr/>
          <w:p>
            <w:pPr>
              <w:pStyle w:val="Compact"/>
              <w:jc w:val="left"/>
            </w:pPr>
            <w:r>
              <w:t xml:space="preserve">Stakeholder Mapping &amp; Coalition Building – Identification and facilitation of meetings with key political, economic, and social stakeholders across all twenty-four (24) districts of Ho Chi Minh City</w:t>
            </w:r>
          </w:p>
        </w:tc>
        <w:tc>
          <w:tcPr/>
          <w:p>
            <w:pPr>
              <w:pStyle w:val="Compact"/>
              <w:jc w:val="left"/>
            </w:pPr>
            <w:r>
              <w:t xml:space="preserve">6 sessions</w:t>
            </w:r>
          </w:p>
        </w:tc>
        <w:tc>
          <w:tcPr/>
          <w:p>
            <w:pPr>
              <w:pStyle w:val="Compact"/>
              <w:jc w:val="left"/>
            </w:pPr>
            <w:r>
              <w:t xml:space="preserve">5,000,000</w:t>
            </w:r>
          </w:p>
        </w:tc>
        <w:tc>
          <w:tcPr/>
          <w:p>
            <w:pPr>
              <w:pStyle w:val="Compact"/>
              <w:jc w:val="left"/>
            </w:pPr>
            <w:r>
              <w:t xml:space="preserve">30,000,000</w:t>
            </w:r>
          </w:p>
        </w:tc>
      </w:tr>
      <w:tr>
        <w:tc>
          <w:tcPr/>
          <w:p>
            <w:pPr>
              <w:pStyle w:val="Compact"/>
              <w:jc w:val="left"/>
            </w:pPr>
            <w:r>
              <w:t xml:space="preserve">6</w:t>
            </w:r>
          </w:p>
        </w:tc>
        <w:tc>
          <w:tcPr/>
          <w:p>
            <w:pPr>
              <w:pStyle w:val="Compact"/>
              <w:jc w:val="left"/>
            </w:pPr>
            <w:r>
              <w:t xml:space="preserve">Travel, Logistics &amp; Venue Coordination – All transportation, venue reservations, translation services (Vietnamese-English), and administrative support required for the</w:t>
            </w:r>
            <w:r>
              <w:t xml:space="preserve"> </w:t>
            </w:r>
            <w:r>
              <w:t xml:space="preserve">Politician</w:t>
            </w:r>
            <w:r>
              <w:t xml:space="preserve">'s activities within Vietnam Ho Chi Minh City</w:t>
            </w:r>
          </w:p>
        </w:tc>
        <w:tc>
          <w:tcPr/>
          <w:p>
            <w:pPr>
              <w:pStyle w:val="Compact"/>
              <w:jc w:val="left"/>
            </w:pPr>
            <w:r>
              <w:t xml:space="preserve">12 weeks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7</w:t>
            </w:r>
          </w:p>
        </w:tc>
        <w:tc>
          <w:tcPr/>
          <w:p>
            <w:pPr>
              <w:pStyle w:val="Compact"/>
              <w:jc w:val="left"/>
            </w:pPr>
            <w:r>
              <w:t xml:space="preserve">Post-Engagement Reporting &amp; Debrief – Final written report summarizing all activities, recommendations, and follow-up action items for the client, delivered within fourteen (14) days of engagement completion</w:t>
            </w:r>
          </w:p>
        </w:tc>
        <w:tc>
          <w:tcPr/>
          <w:p>
            <w:pPr>
              <w:pStyle w:val="Compact"/>
              <w:jc w:val="left"/>
            </w:pPr>
            <w:r>
              <w:t xml:space="preserve">1 deliverable</w:t>
            </w:r>
          </w:p>
        </w:tc>
        <w:tc>
          <w:tcPr/>
          <w:p>
            <w:pPr>
              <w:pStyle w:val="Compact"/>
              <w:jc w:val="left"/>
            </w:pPr>
            <w:r>
              <w:t xml:space="preserve">10,000,000</w:t>
            </w:r>
          </w:p>
        </w:tc>
        <w:tc>
          <w:tcPr/>
          <w:p>
            <w:pPr>
              <w:pStyle w:val="Compact"/>
              <w:jc w:val="left"/>
            </w:pPr>
            <w:r>
              <w:t xml:space="preserve">10,000,000</w:t>
            </w:r>
          </w:p>
        </w:tc>
      </w:tr>
      <w:tr>
        <w:tc>
          <w:tcPr>
            <w:gridSpan w:val="4"/>
          </w:tcPr>
          <w:p>
            <w:pPr>
              <w:pStyle w:val="Compact"/>
              <w:jc w:val="right"/>
            </w:pPr>
            <w:r>
              <w:t xml:space="preserve">TOTAL ESTIMATED COST (VND):</w:t>
            </w:r>
          </w:p>
        </w:tc>
        <w:tc>
          <w:tcPr/>
          <w:p>
            <w:pPr>
              <w:pStyle w:val="Compact"/>
              <w:jc w:val="left"/>
            </w:pPr>
            <w:r>
              <w:t xml:space="preserve">278,000,000</w:t>
            </w:r>
          </w:p>
        </w:tc>
      </w:tr>
      <w:tr>
        <w:tc>
          <w:tcPr>
            <w:gridSpan w:val="4"/>
          </w:tcPr>
          <w:p>
            <w:pPr>
              <w:pStyle w:val="Compact"/>
              <w:jc w:val="right"/>
            </w:pPr>
            <w:r>
              <w:t xml:space="preserve">TOTAL ESTIMATED COST (USD, approx. at 25,000 VND/USD):</w:t>
            </w:r>
          </w:p>
        </w:tc>
        <w:tc>
          <w:tcPr/>
          <w:p>
            <w:pPr>
              <w:pStyle w:val="Compact"/>
              <w:jc w:val="left"/>
            </w:pPr>
            <w:r>
              <w:t xml:space="preserve">11,120.00</w:t>
            </w:r>
          </w:p>
        </w:tc>
      </w:tr>
    </w:tbl>
    <w:p>
      <w:pPr>
        <w:pStyle w:val="BodyText"/>
      </w:pPr>
      <w:r>
        <w:rPr>
          <w:bCs/>
          <w:b/>
        </w:rPr>
        <w:t xml:space="preserve">Note:</w:t>
      </w:r>
      <w:r>
        <w:t xml:space="preserve"> </w:t>
      </w:r>
      <w:r>
        <w:t xml:space="preserve">All prices listed in this Quotation Estimate are exclusive of applicable Value Added Tax (VAT) at the prevailing rate of 10% as mandated by the General Department of Taxation of Vietnam. The final invoice shall reflect the applicable tax amount. Payment in Vietnamese Dong (VND) is preferred; USD payments will be converted at the State Bank of Vietnam's official exchange rate on the date of payment.</w:t>
      </w:r>
    </w:p>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engagement initiated after the expiration date shall require a revised Quotation Estimate reflecting current market rates and availability of the</w:t>
      </w:r>
      <w:r>
        <w:t xml:space="preserve"> </w:t>
      </w:r>
      <w:r>
        <w:t xml:space="preserve">Politician</w:t>
      </w:r>
      <w:r>
        <w:t xml:space="preserve">.</w:t>
      </w:r>
    </w:p>
    <w:p>
      <w:pPr>
        <w:numPr>
          <w:ilvl w:val="0"/>
          <w:numId w:val="1001"/>
        </w:numPr>
        <w:pStyle w:val="Compact"/>
      </w:pPr>
      <w:r>
        <w:t xml:space="preserve">Payment terms: Fifty percent (50%) of the total estimated cost shall be due upon execution of the service agreement. The remaining fifty percent (50%) shall be payable within fifteen (15) business days following the delivery of the final post-engagement report.</w:t>
      </w:r>
    </w:p>
    <w:p>
      <w:pPr>
        <w:numPr>
          <w:ilvl w:val="0"/>
          <w:numId w:val="1001"/>
        </w:numPr>
        <w:pStyle w:val="Compact"/>
      </w:pPr>
      <w:r>
        <w:t xml:space="preserve">All services shall be performed within the administrative boundaries of Ho Chi Minh City, Vietnam. Any travel or activities outside this jurisdiction shall be subject to a separate supplementary Quotation Estimate.</w:t>
      </w:r>
    </w:p>
    <w:p>
      <w:pPr>
        <w:numPr>
          <w:ilvl w:val="0"/>
          <w:numId w:val="1001"/>
        </w:numPr>
        <w:pStyle w:val="Compact"/>
      </w:pPr>
      <w:r>
        <w:t xml:space="preserve">The</w:t>
      </w:r>
      <w:r>
        <w:t xml:space="preserve"> </w:t>
      </w:r>
      <w:r>
        <w:t xml:space="preserve">Politician</w:t>
      </w:r>
      <w:r>
        <w:t xml:space="preserve"> </w:t>
      </w:r>
      <w:r>
        <w:t xml:space="preserve">reserves the right to decline any engagement that conflicts with existing political obligations, legislative duties, or commitments to the Communist Party of Vietnam or the People's Council of Ho Chi Minh City.</w:t>
      </w:r>
    </w:p>
    <w:p>
      <w:pPr>
        <w:numPr>
          <w:ilvl w:val="0"/>
          <w:numId w:val="1001"/>
        </w:numPr>
        <w:pStyle w:val="Compact"/>
      </w:pPr>
      <w:r>
        <w:t xml:space="preserve">Confidentiality: All documents, strategies, and communications developed under this engagement shall be treated as strictly confidential. Neither party shall disclose proprietary information to third parties without written consent, in accordance with Vietnam's Law on Commercial Secrets.</w:t>
      </w:r>
    </w:p>
    <w:p>
      <w:pPr>
        <w:numPr>
          <w:ilvl w:val="0"/>
          <w:numId w:val="1001"/>
        </w:numPr>
        <w:pStyle w:val="Compact"/>
      </w:pPr>
      <w:r>
        <w:t xml:space="preserve">Force Majeure: Neither party shall be held liable for delays or non-performance resulting from natural disasters, government-mandated closures, public health emergencies, or other events beyond reasonable control, as defined under the Civil Code of Vietnam.</w:t>
      </w:r>
    </w:p>
    <w:p>
      <w:pPr>
        <w:numPr>
          <w:ilvl w:val="0"/>
          <w:numId w:val="1001"/>
        </w:numPr>
        <w:pStyle w:val="Compact"/>
      </w:pPr>
      <w:r>
        <w:t xml:space="preserve">Dispute Resolution: Any disputes arising from this Quotation Estimate or the subsequent service agreement shall be resolved through mediation in Ho Chi Minh City. If mediation fails, disputes shall be submitted to the People's Court of Ho Chi Minh City for adjudication.</w:t>
      </w:r>
    </w:p>
    <w:p>
      <w:pPr>
        <w:numPr>
          <w:ilvl w:val="0"/>
          <w:numId w:val="1001"/>
        </w:numPr>
        <w:pStyle w:val="Compact"/>
      </w:pPr>
      <w:r>
        <w:t xml:space="preserve">This Quotation Estimate does not constitute a binding contract. A formal Service Agreement must be executed by both parties prior to the commencement of any services described herein.</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they have read, understood, and agree to the terms set forth in this Quotation Estimate. The undersigned</w:t>
      </w:r>
      <w:r>
        <w:t xml:space="preserve"> </w:t>
      </w:r>
      <w:r>
        <w:t xml:space="preserve">Politician</w:t>
      </w:r>
      <w:r>
        <w:t xml:space="preserve"> </w:t>
      </w:r>
      <w:r>
        <w:t xml:space="preserve">confirms availability and willingness to perform the services described herein in</w:t>
      </w:r>
      <w:r>
        <w:t xml:space="preserve"> </w:t>
      </w:r>
      <w:r>
        <w:t xml:space="preserve">Vietnam Ho Chi Minh City</w:t>
      </w:r>
      <w:r>
        <w:t xml:space="preserve"> </w:t>
      </w:r>
      <w:r>
        <w:t xml:space="preserve">during the proposed engagement period.</w:t>
      </w:r>
    </w:p>
    <w:p>
      <w:pPr>
        <w:pStyle w:val="BodyText"/>
      </w:pPr>
      <w:r>
        <w:rPr>
          <w:bCs/>
          <w:b/>
        </w:rPr>
        <w:t xml:space="preserve">Service Provider (Politician)</w:t>
      </w:r>
    </w:p>
    <w:p>
      <w:pPr>
        <w:pStyle w:val="BodyText"/>
      </w:pPr>
      <w:r>
        <w:t xml:space="preserve">Mr. Nguyen Van Thanh</w:t>
      </w:r>
    </w:p>
    <w:p>
      <w:pPr>
        <w:pStyle w:val="BodyText"/>
      </w:pPr>
      <w:r>
        <w:t xml:space="preserve">Senior Political Consultant</w:t>
      </w:r>
    </w:p>
    <w:p>
      <w:pPr>
        <w:pStyle w:val="BodyText"/>
      </w:pPr>
      <w:r>
        <w:t xml:space="preserve">Signature &amp; Date</w:t>
      </w:r>
    </w:p>
    <w:p>
      <w:pPr>
        <w:pStyle w:val="BodyText"/>
      </w:pPr>
      <w:r>
        <w:rPr>
          <w:bCs/>
          <w:b/>
        </w:rPr>
        <w:t xml:space="preserve">Client Representative</w:t>
      </w:r>
    </w:p>
    <w:p>
      <w:pPr>
        <w:pStyle w:val="BodyText"/>
      </w:pPr>
      <w:r>
        <w:t xml:space="preserve">Ho Chi Minh City Municipal Development Council</w:t>
      </w:r>
    </w:p>
    <w:p>
      <w:pPr>
        <w:pStyle w:val="BodyText"/>
      </w:pPr>
      <w:r>
        <w:t xml:space="preserve">Authorized Signatory</w:t>
      </w:r>
    </w:p>
    <w:p>
      <w:pPr>
        <w:pStyle w:val="BodyText"/>
      </w:pPr>
      <w:r>
        <w:t xml:space="preserve">Signature &amp; Date</w:t>
      </w:r>
    </w:p>
    <w:p>
      <w:pPr>
        <w:pStyle w:val="BodyText"/>
      </w:pPr>
      <w:r>
        <w:t xml:space="preserve">Quotation Estimate No. QTE-HCMC-2025-0472 | Issued in Ho Chi Minh City, Vietnam | Page 1 of 1</w:t>
      </w:r>
    </w:p>
    <w:p>
      <w:pPr>
        <w:pStyle w:val="BodyText"/>
      </w:pPr>
      <w:r>
        <w:t xml:space="preserve">This document is the property of the issuing party and may not be reproduced without written authorization. All references to the Politician, Quotation Estimate, and Vietnam Ho Chi Minh City are integral to the scope and validity of this document.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Ho Chi Minh City, Vietnam</dc:title>
  <dc:creator/>
  <dc:language>en</dc:language>
  <cp:keywords/>
  <dcterms:created xsi:type="dcterms:W3CDTF">2026-10-10T04:35:51Z</dcterms:created>
  <dcterms:modified xsi:type="dcterms:W3CDTF">2026-10-10T04:35:51Z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