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Academic &amp; Consulting Services — Professor Engagement</w:t>
      </w:r>
    </w:p>
    <w:p>
      <w:pPr>
        <w:pStyle w:val="BodyText"/>
      </w:pPr>
      <w:r>
        <w:t xml:space="preserve">Australia Melbourne</w:t>
      </w:r>
      <w:r>
        <w:t xml:space="preserve"> </w:t>
      </w:r>
      <w:r>
        <w:t xml:space="preserve">Formal Estimate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QTE-MEL-2025-04782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Eleanor Whitfield, Faculty of Advanced Research &amp; Consultation, Melbourne, Victoria, Australia</w:t>
            </w:r>
          </w:p>
        </w:tc>
      </w:tr>
      <w:tr>
        <w:tc>
          <w:tcPr/>
          <w:p>
            <w:pPr>
              <w:pStyle w:val="Compact"/>
              <w:jc w:val="left"/>
            </w:pPr>
            <w:r>
              <w:t xml:space="preserve">Prepared For:</w:t>
            </w:r>
          </w:p>
        </w:tc>
        <w:tc>
          <w:tcPr/>
          <w:p>
            <w:pPr>
              <w:pStyle w:val="Compact"/>
              <w:jc w:val="left"/>
            </w:pPr>
            <w:r>
              <w:t xml:space="preserve">Client Organisation — Melbourne, Victoria, Australia (3000)</w:t>
            </w:r>
          </w:p>
        </w:tc>
      </w:tr>
      <w:tr>
        <w:tc>
          <w:tcPr/>
          <w:p>
            <w:pPr>
              <w:pStyle w:val="Compact"/>
              <w:jc w:val="left"/>
            </w:pPr>
            <w:r>
              <w:t xml:space="preserve">Service Location:</w:t>
            </w:r>
          </w:p>
        </w:tc>
        <w:tc>
          <w:tcPr/>
          <w:p>
            <w:pPr>
              <w:pStyle w:val="Compact"/>
              <w:jc w:val="left"/>
            </w:pPr>
            <w:r>
              <w:t xml:space="preserve">Melbourne, Australia (on-site and remote delivery available)</w:t>
            </w:r>
          </w:p>
        </w:tc>
      </w:tr>
      <w:tr>
        <w:tc>
          <w:tcPr/>
          <w:p>
            <w:pPr>
              <w:pStyle w:val="Compact"/>
              <w:jc w:val="left"/>
            </w:pPr>
            <w:r>
              <w:t xml:space="preserve">Currency:</w:t>
            </w:r>
          </w:p>
        </w:tc>
        <w:tc>
          <w:tcPr/>
          <w:p>
            <w:pPr>
              <w:pStyle w:val="Compact"/>
              <w:jc w:val="left"/>
            </w:pPr>
            <w:r>
              <w:t xml:space="preserve">Australian Dollars (AUD)</w:t>
            </w:r>
          </w:p>
        </w:tc>
      </w:tr>
    </w:tbl>
    <w:bookmarkStart w:id="21" w:name="scope-of-quotation-estimate"/>
    <w:p>
      <w:pPr>
        <w:pStyle w:val="Heading2"/>
      </w:pPr>
      <w:r>
        <w:t xml:space="preserve">1. Scope of Quotation Estimate</w:t>
      </w:r>
    </w:p>
    <w:p>
      <w:pPr>
        <w:pStyle w:val="FirstParagraph"/>
      </w:pPr>
      <w:r>
        <w:t xml:space="preserve">This Quotation Estimate is issued in accordance with the professional standards governing academic and consulting engagements in Australia Melbourne. It provides a comprehensive cost breakdown for the services of a qualified Professor engaged to deliver specialised academic instruction, research supervision, and strategic consultancy. All pricing within this Quotation Estimate reflects current market rates applicable to the Melbourne, Victoria region of Australia and is subject to the terms and conditions outlined herein. The Professor named in this estimate holds a full-time academic appointment and possesses over twenty years of experience in their respective discipline, with a proven track record of delivering high-impact outcomes for institutional and corporate clients across Australia Melbourne and internationally.</w:t>
      </w:r>
    </w:p>
    <w:bookmarkEnd w:id="21"/>
    <w:bookmarkStart w:id="22" w:name="itemised-services-pricing"/>
    <w:p>
      <w:pPr>
        <w:pStyle w:val="Heading2"/>
      </w:pPr>
      <w:r>
        <w:t xml:space="preserve">2. Itemised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Professor's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Professor-led executive lecture series (4 sessions, 3 hours each) delivered on-site in Melbourne, Australia. Includes preparation of bespoke course materials, slide decks, and reference bibliographies tailored to the client's industry sector.</w:t>
            </w:r>
          </w:p>
        </w:tc>
        <w:tc>
          <w:tcPr/>
          <w:p>
            <w:pPr>
              <w:pStyle w:val="Compact"/>
              <w:jc w:val="left"/>
            </w:pPr>
            <w:r>
              <w:t xml:space="preserve">12 hours</w:t>
            </w:r>
          </w:p>
        </w:tc>
        <w:tc>
          <w:tcPr/>
          <w:p>
            <w:pPr>
              <w:pStyle w:val="Compact"/>
              <w:jc w:val="left"/>
            </w:pPr>
            <w:r>
              <w:t xml:space="preserve">$1,250.00/hr</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Research supervision and methodology consultation by the Professor. Involves weekly one-hour video consultations over a 12-week period, plus written feedback on two draft research papers. Delivered remotely with on-site visits in Melbourne, Australia as required.</w:t>
            </w:r>
          </w:p>
        </w:tc>
        <w:tc>
          <w:tcPr/>
          <w:p>
            <w:pPr>
              <w:pStyle w:val="Compact"/>
              <w:jc w:val="left"/>
            </w:pPr>
            <w:r>
              <w:t xml:space="preserve">12 weeks</w:t>
            </w:r>
          </w:p>
        </w:tc>
        <w:tc>
          <w:tcPr/>
          <w:p>
            <w:pPr>
              <w:pStyle w:val="Compact"/>
              <w:jc w:val="left"/>
            </w:pPr>
            <w:r>
              <w:t xml:space="preserve">$950.00/wk</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Strategic advisory engagement: Professor provides a comprehensive industry analysis report (minimum 40 pages) covering market trends, regulatory landscape in Australia, and recommended strategic pathways. Includes a 2-hour presentation of findings to the client's board in Melbourne.</w:t>
            </w:r>
          </w:p>
        </w:tc>
        <w:tc>
          <w:tcPr/>
          <w:p>
            <w:pPr>
              <w:pStyle w:val="Compact"/>
              <w:jc w:val="left"/>
            </w:pPr>
            <w:r>
              <w:t xml:space="preserve">1 engagement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Workshop facilitation: Half-day (4-hour) interactive workshop for up to 25 participants, conducted at the client's Melbourne, Australia premises. The Professor designs and delivers the workshop, including all participant handouts and post-session summary report.</w:t>
            </w:r>
          </w:p>
        </w:tc>
        <w:tc>
          <w:tcPr/>
          <w:p>
            <w:pPr>
              <w:pStyle w:val="Compact"/>
              <w:jc w:val="left"/>
            </w:pPr>
            <w:r>
              <w:t xml:space="preserve">1 workshop</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Travel and accommodation allowance for the Professor's on-site visits to Melbourne, Australia (estimated 3 visits, 2 nights each). Covers domestic airfare, accommodation at a 4-star hotel, and local transport within the Melbourne metropolitan area.</w:t>
            </w:r>
          </w:p>
        </w:tc>
        <w:tc>
          <w:tcPr/>
          <w:p>
            <w:pPr>
              <w:pStyle w:val="Compact"/>
              <w:jc w:val="left"/>
            </w:pPr>
            <w:r>
              <w:t xml:space="preserve">3 visits</w:t>
            </w:r>
          </w:p>
        </w:tc>
        <w:tc>
          <w:tcPr/>
          <w:p>
            <w:pPr>
              <w:pStyle w:val="Compact"/>
              <w:jc w:val="left"/>
            </w:pPr>
            <w:r>
              <w:t xml:space="preserve">$1,800.00/visit</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Post-engagement support: 30 days of email and phone access to the Professor for follow-up queries, clarification of materials, and minor revisions to deliverables. Available Monday to Friday, 9:00 AM to 5:00 PM AEST (Melbourne time).</w:t>
            </w:r>
          </w:p>
        </w:tc>
        <w:tc>
          <w:tcPr/>
          <w:p>
            <w:pPr>
              <w:pStyle w:val="Compact"/>
              <w:jc w:val="left"/>
            </w:pPr>
            <w:r>
              <w:t xml:space="preserve">30 days</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right"/>
            </w:pPr>
            <w:r>
              <w:t xml:space="preserve">Subtotal (excl. GST)</w:t>
            </w:r>
          </w:p>
        </w:tc>
        <w:tc>
          <w:tcPr/>
          <w:p>
            <w:pPr>
              <w:pStyle w:val="Compact"/>
              <w:jc w:val="left"/>
            </w:pPr>
            <w:r>
              <w:t xml:space="preserve">$45,100.00</w:t>
            </w:r>
          </w:p>
        </w:tc>
      </w:tr>
      <w:tr>
        <w:tc>
          <w:tcPr>
            <w:gridSpan w:val="4"/>
          </w:tcPr>
          <w:p>
            <w:pPr>
              <w:pStyle w:val="Compact"/>
              <w:jc w:val="right"/>
            </w:pPr>
            <w:r>
              <w:t xml:space="preserve">GST (10%) — Australia</w:t>
            </w:r>
          </w:p>
        </w:tc>
        <w:tc>
          <w:tcPr/>
          <w:p>
            <w:pPr>
              <w:pStyle w:val="Compact"/>
              <w:jc w:val="left"/>
            </w:pPr>
            <w:r>
              <w:t xml:space="preserve">$4,510.00</w:t>
            </w:r>
          </w:p>
        </w:tc>
      </w:tr>
      <w:tr>
        <w:tc>
          <w:tcPr>
            <w:gridSpan w:val="4"/>
          </w:tcPr>
          <w:p>
            <w:pPr>
              <w:pStyle w:val="Compact"/>
              <w:jc w:val="right"/>
            </w:pPr>
            <w:r>
              <w:t xml:space="preserve">TOTAL (incl. GST)</w:t>
            </w:r>
          </w:p>
        </w:tc>
        <w:tc>
          <w:tcPr/>
          <w:p>
            <w:pPr>
              <w:pStyle w:val="Compact"/>
              <w:jc w:val="left"/>
            </w:pPr>
            <w:r>
              <w:t xml:space="preserve">$49,610.00</w:t>
            </w:r>
          </w:p>
        </w:tc>
      </w:tr>
    </w:tbl>
    <w:p>
      <w:pPr>
        <w:pStyle w:val="BodyText"/>
      </w:pPr>
      <w:r>
        <w:t xml:space="preserve">All amounts are quoted in Australian Dollars (AUD). Goods and Services Tax (GST) at the current Australian rate of 10% has been applied in accordance with the A New Tax System (Goods and Services Tax) Act 1999 (Cth). This Quotation Estimate is valid for services to be performed within the state of Victoria, Australia Melbourne metropolitan area.</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a formal estimate of costs and does not constitute a binding contract until accepted in writing by both parties. Acceptance must be confirmed within 30 days of the date of issue.</w:t>
      </w:r>
    </w:p>
    <w:p>
      <w:pPr>
        <w:numPr>
          <w:ilvl w:val="0"/>
          <w:numId w:val="1001"/>
        </w:numPr>
        <w:pStyle w:val="Compact"/>
      </w:pPr>
      <w:r>
        <w:t xml:space="preserve">The Professor reserves the right to decline or modify the scope of work if additional requirements are identified during the engagement. Any such modifications will be documented in a supplementary Quotation Estimate addendum.</w:t>
      </w:r>
    </w:p>
    <w:p>
      <w:pPr>
        <w:numPr>
          <w:ilvl w:val="0"/>
          <w:numId w:val="1001"/>
        </w:numPr>
        <w:pStyle w:val="Compact"/>
      </w:pPr>
      <w:r>
        <w:t xml:space="preserve">Payment terms: 50% deposit due upon acceptance of this Quotation Estimate; the remaining 50% is due within 14 business days of completion of all deliverables. Payment is to be made via bank transfer to the account details provided in the accompanying invoice.</w:t>
      </w:r>
    </w:p>
    <w:p>
      <w:pPr>
        <w:numPr>
          <w:ilvl w:val="0"/>
          <w:numId w:val="1001"/>
        </w:numPr>
        <w:pStyle w:val="Compact"/>
      </w:pPr>
      <w:r>
        <w:t xml:space="preserve">All intellectual property created specifically for the client under this engagement shall transfer to the client upon full payment. Pre-existing materials, frameworks, and methodologies of the Professor remain the property of the Professor.</w:t>
      </w:r>
    </w:p>
    <w:p>
      <w:pPr>
        <w:numPr>
          <w:ilvl w:val="0"/>
          <w:numId w:val="1001"/>
        </w:numPr>
        <w:pStyle w:val="Compact"/>
      </w:pPr>
      <w:r>
        <w:t xml:space="preserve">The Professor shall comply with all applicable Australian privacy legislation, including the Privacy Act 1988 (Cth), and any institutional data-handling policies relevant to the Melbourne, Australia service location.</w:t>
      </w:r>
    </w:p>
    <w:p>
      <w:pPr>
        <w:numPr>
          <w:ilvl w:val="0"/>
          <w:numId w:val="1001"/>
        </w:numPr>
        <w:pStyle w:val="Compact"/>
      </w:pPr>
      <w:r>
        <w:t xml:space="preserve">Cancellation by the client after the engagement has commenced will incur a fee of 75% of the remaining contracted value. Cancellation prior to commencement will incur a 25% administrative fee.</w:t>
      </w:r>
    </w:p>
    <w:p>
      <w:pPr>
        <w:numPr>
          <w:ilvl w:val="0"/>
          <w:numId w:val="1001"/>
        </w:numPr>
        <w:pStyle w:val="Compact"/>
      </w:pPr>
      <w:r>
        <w:t xml:space="preserve">This Quotation Estimate is governed by the laws of the State of Victoria, Australia. Any disputes shall be resolved through the Victorian Civil and Administrative Tribunal (VCAT) or the courts of Australia Melbourne.</w:t>
      </w:r>
    </w:p>
    <w:p>
      <w:pPr>
        <w:numPr>
          <w:ilvl w:val="0"/>
          <w:numId w:val="1001"/>
        </w:numPr>
        <w:pStyle w:val="Compact"/>
      </w:pPr>
      <w:r>
        <w:t xml:space="preserve">The Professor is not liable for indirect, consequential, or punitive damages arising from the services described in this Quotation Estimate. Total liability is capped at the total amount paid under this engagement.</w:t>
      </w:r>
    </w:p>
    <w:bookmarkEnd w:id="23"/>
    <w:bookmarkStart w:id="24" w:name="acceptance-authorisation"/>
    <w:p>
      <w:pPr>
        <w:pStyle w:val="Heading2"/>
      </w:pPr>
      <w:r>
        <w:t xml:space="preserve">4. Acceptance &amp; Authorisation</w:t>
      </w:r>
    </w:p>
    <w:p>
      <w:pPr>
        <w:pStyle w:val="FirstParagraph"/>
      </w:pPr>
      <w:r>
        <w:rPr>
          <w:bCs/>
          <w:b/>
        </w:rPr>
        <w:t xml:space="preserve">For the Professor / Service Provider:</w:t>
      </w:r>
    </w:p>
    <w:p>
      <w:pPr>
        <w:pStyle w:val="BodyText"/>
      </w:pPr>
      <w:r>
        <w:t xml:space="preserve">Dr. Eleanor Whitfield</w:t>
      </w:r>
      <w:r>
        <w:br/>
      </w:r>
      <w:r>
        <w:t xml:space="preserve">Professor &amp; Lead Consultant</w:t>
      </w:r>
      <w:r>
        <w:br/>
      </w:r>
      <w:r>
        <w:t xml:space="preserve">Date: _______________</w:t>
      </w:r>
    </w:p>
    <w:p>
      <w:pPr>
        <w:pStyle w:val="BodyText"/>
      </w:pPr>
      <w:r>
        <w:rPr>
          <w:bCs/>
          <w:b/>
        </w:rPr>
        <w:t xml:space="preserve">For the Client:</w:t>
      </w:r>
    </w:p>
    <w:p>
      <w:pPr>
        <w:pStyle w:val="BodyText"/>
      </w:pPr>
      <w:r>
        <w:t xml:space="preserve">Authorised Representative</w:t>
      </w:r>
      <w:r>
        <w:br/>
      </w:r>
      <w:r>
        <w:t xml:space="preserve">Organisation Name: _______________</w:t>
      </w:r>
      <w:r>
        <w:br/>
      </w:r>
      <w:r>
        <w:t xml:space="preserve">Date: _______________</w:t>
      </w:r>
    </w:p>
    <w:p>
      <w:pPr>
        <w:pStyle w:val="BodyText"/>
      </w:pPr>
      <w:r>
        <w:rPr>
          <w:bCs/>
          <w:b/>
        </w:rPr>
        <w:t xml:space="preserve">Quotation Estimate QTE-MEL-2025-04782</w:t>
      </w:r>
      <w:r>
        <w:t xml:space="preserve"> </w:t>
      </w:r>
      <w:r>
        <w:t xml:space="preserve">— Professor Services — Australia Melbourne</w:t>
      </w:r>
    </w:p>
    <w:p>
      <w:pPr>
        <w:pStyle w:val="BodyText"/>
      </w:pPr>
      <w:r>
        <w:t xml:space="preserve">This document is the property of the issuing institution and is intended solely for the named client. Unauthorised reproduction or distribution is prohibited under Australian copyright law.</w:t>
      </w:r>
    </w:p>
    <w:p>
      <w:pPr>
        <w:pStyle w:val="BodyText"/>
      </w:pPr>
      <w:r>
        <w:t xml:space="preserve">© 2025 Faculty of Advanced Research &amp; Consultation, Melbourne, Victoria, Australia.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Australia Melbourne</dc:title>
  <dc:creator/>
  <dc:language>en</dc:language>
  <cp:keywords/>
  <dcterms:created xsi:type="dcterms:W3CDTF">2026-10-10T04:32:48Z</dcterms:created>
  <dcterms:modified xsi:type="dcterms:W3CDTF">2026-10-10T04:32:48Z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