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Academic Consulting &amp; Professor Engagement Services</w:t>
      </w:r>
    </w:p>
    <w:p>
      <w:pPr>
        <w:pStyle w:val="BodyText"/>
      </w:pPr>
      <w:r>
        <w:t xml:space="preserve">Serving Canada Toronto and the Greater Toronto Area</w:t>
      </w:r>
    </w:p>
    <w:bookmarkEnd w:id="20"/>
    <w:p>
      <w:pPr>
        <w:pStyle w:val="BodyText"/>
      </w:pPr>
      <w:r>
        <w:rPr>
          <w:bCs/>
          <w:b/>
        </w:rPr>
        <w:t xml:space="preserve">Quotation No.:</w:t>
      </w:r>
      <w:r>
        <w:t xml:space="preserve"> </w:t>
      </w:r>
      <w:r>
        <w:t xml:space="preserve">QTE-2025-TOR-0472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Dr. Margaret A. Thornton</w:t>
      </w:r>
      <w:r>
        <w:br/>
      </w:r>
      <w:r>
        <w:rPr>
          <w:bCs/>
          <w:b/>
        </w:rPr>
        <w:t xml:space="preserve">Title:</w:t>
      </w:r>
      <w:r>
        <w:t xml:space="preserve"> </w:t>
      </w:r>
      <w:r>
        <w:t xml:space="preserve">Professor of Applied Economics</w:t>
      </w:r>
      <w:r>
        <w:br/>
      </w:r>
      <w:r>
        <w:rPr>
          <w:bCs/>
          <w:b/>
        </w:rPr>
        <w:t xml:space="preserve">University Affiliation:</w:t>
      </w:r>
      <w:r>
        <w:t xml:space="preserve"> </w:t>
      </w:r>
      <w:r>
        <w:t xml:space="preserve">University of Toronto, Faculty of Business</w:t>
      </w:r>
      <w:r>
        <w:br/>
      </w:r>
      <w:r>
        <w:rPr>
          <w:bCs/>
          <w:b/>
        </w:rPr>
        <w:t xml:space="preserve">Location:</w:t>
      </w:r>
      <w:r>
        <w:t xml:space="preserve"> </w:t>
      </w:r>
      <w:r>
        <w:t xml:space="preserve">253 Bloor Street West, Toronto, ON M5S 1V6, Canada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Meridian Strategic Advisory Group Inc.</w:t>
            </w:r>
          </w:p>
        </w:tc>
      </w:tr>
      <w:tr>
        <w:tc>
          <w:tcPr/>
          <w:p>
            <w:pPr>
              <w:pStyle w:val="Compact"/>
              <w:jc w:val="left"/>
            </w:pPr>
            <w:r>
              <w:rPr>
                <w:bCs/>
                <w:b/>
              </w:rPr>
              <w:t xml:space="preserve">Address:</w:t>
            </w:r>
          </w:p>
        </w:tc>
        <w:tc>
          <w:tcPr/>
          <w:p>
            <w:pPr>
              <w:pStyle w:val="Compact"/>
              <w:jc w:val="left"/>
            </w:pPr>
            <w:r>
              <w:t xml:space="preserve">100 King Street West, Suite 2400, Toronto, Ontario M5X 1A9, Canada</w:t>
            </w:r>
          </w:p>
        </w:tc>
      </w:tr>
      <w:tr>
        <w:tc>
          <w:tcPr/>
          <w:p>
            <w:pPr>
              <w:pStyle w:val="Compact"/>
              <w:jc w:val="left"/>
            </w:pPr>
            <w:r>
              <w:rPr>
                <w:bCs/>
                <w:b/>
              </w:rPr>
              <w:t xml:space="preserve">Contact Person:</w:t>
            </w:r>
          </w:p>
        </w:tc>
        <w:tc>
          <w:tcPr/>
          <w:p>
            <w:pPr>
              <w:pStyle w:val="Compact"/>
              <w:jc w:val="left"/>
            </w:pPr>
            <w:r>
              <w:t xml:space="preserve">Mr. David Chen, Director of Research &amp; Development</w:t>
            </w:r>
          </w:p>
        </w:tc>
      </w:tr>
      <w:tr>
        <w:tc>
          <w:tcPr/>
          <w:p>
            <w:pPr>
              <w:pStyle w:val="Compact"/>
              <w:jc w:val="left"/>
            </w:pPr>
            <w:r>
              <w:rPr>
                <w:bCs/>
                <w:b/>
              </w:rPr>
              <w:t xml:space="preserve">Email:</w:t>
            </w:r>
          </w:p>
        </w:tc>
        <w:tc>
          <w:tcPr/>
          <w:p>
            <w:pPr>
              <w:pStyle w:val="Compact"/>
              <w:jc w:val="left"/>
            </w:pPr>
            <w:r>
              <w:t xml:space="preserve">d.chen@meridianstrategic.ca</w:t>
            </w:r>
          </w:p>
        </w:tc>
      </w:tr>
      <w:tr>
        <w:tc>
          <w:tcPr/>
          <w:p>
            <w:pPr>
              <w:pStyle w:val="Compact"/>
              <w:jc w:val="left"/>
            </w:pPr>
            <w:r>
              <w:rPr>
                <w:bCs/>
                <w:b/>
              </w:rPr>
              <w:t xml:space="preserve">Phone:</w:t>
            </w:r>
          </w:p>
        </w:tc>
        <w:tc>
          <w:tcPr/>
          <w:p>
            <w:pPr>
              <w:pStyle w:val="Compact"/>
              <w:jc w:val="left"/>
            </w:pPr>
            <w:r>
              <w:t xml:space="preserve">+1 (416) 555-0187</w:t>
            </w:r>
          </w:p>
        </w:tc>
      </w:tr>
    </w:tbl>
    <w:bookmarkEnd w:id="21"/>
    <w:bookmarkStart w:id="22" w:name="scope-of-services-professor-engagement"/>
    <w:p>
      <w:pPr>
        <w:pStyle w:val="Heading2"/>
      </w:pPr>
      <w:r>
        <w:t xml:space="preserve">2. Scope of Services – Professor Engagement</w:t>
      </w:r>
    </w:p>
    <w:p>
      <w:pPr>
        <w:pStyle w:val="FirstParagraph"/>
      </w:pPr>
      <w:r>
        <w:t xml:space="preserve">This Quotation Estimate outlines the professional fees and associated costs for the engagement of</w:t>
      </w:r>
      <w:r>
        <w:t xml:space="preserve"> </w:t>
      </w:r>
      <w:r>
        <w:rPr>
          <w:bCs/>
          <w:b/>
        </w:rPr>
        <w:t xml:space="preserve">Professor Dr. Margaret A. Thornton</w:t>
      </w:r>
      <w:r>
        <w:t xml:space="preserve"> </w:t>
      </w:r>
      <w:r>
        <w:t xml:space="preserve">to deliver a comprehensive academic consulting program for Meridian Strategic Advisory Group Inc. The Professor will provide expert guidance in applied macroeconomic modelling, policy analysis, and quantitative research methodology. All services will be delivered in person at the client's Toronto, Ontario office or via secure virtual sessions, in accordance with the academic and professional standards upheld by institutions across Canada Toronto and the broader Ontario region.</w:t>
      </w:r>
    </w:p>
    <w:p>
      <w:pPr>
        <w:pStyle w:val="BodyText"/>
      </w:pPr>
      <w:r>
        <w:t xml:space="preserve">The Professor's engagement encompasses the following deliverables: a 12-week structured consulting program, two on-site workshops at the client's Toronto headquarters, a final research report of no fewer than 80 pages, and a 90-minute executive briefing presentation to the client's board of directors. The Professor will also provide ongoing email and telephone advisory support throughout the engagement period.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Professor's primary consulting fee – applied economic modelling and policy analysis (12-week program)</w:t>
            </w:r>
          </w:p>
        </w:tc>
        <w:tc>
          <w:tcPr/>
          <w:p>
            <w:pPr>
              <w:pStyle w:val="Compact"/>
              <w:jc w:val="left"/>
            </w:pPr>
            <w:r>
              <w:t xml:space="preserve">12 weeks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On-site workshop delivery at client's Toronto, Ontario office (half-day sessions, up to 25 attendees)</w:t>
            </w:r>
          </w:p>
        </w:tc>
        <w:tc>
          <w:tcPr/>
          <w:p>
            <w:pPr>
              <w:pStyle w:val="Compact"/>
              <w:jc w:val="left"/>
            </w:pPr>
            <w:r>
              <w:t xml:space="preserve">2 sessions</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03</w:t>
            </w:r>
          </w:p>
        </w:tc>
        <w:tc>
          <w:tcPr/>
          <w:p>
            <w:pPr>
              <w:pStyle w:val="Compact"/>
              <w:jc w:val="left"/>
            </w:pPr>
            <w:r>
              <w:t xml:space="preserve">Final research report preparation, editing, and delivery (minimum 80 pages, peer-reviewed format)</w:t>
            </w:r>
          </w:p>
        </w:tc>
        <w:tc>
          <w:tcPr/>
          <w:p>
            <w:pPr>
              <w:pStyle w:val="Compact"/>
              <w:jc w:val="left"/>
            </w:pPr>
            <w:r>
              <w:t xml:space="preserve">1 deliverable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04</w:t>
            </w:r>
          </w:p>
        </w:tc>
        <w:tc>
          <w:tcPr/>
          <w:p>
            <w:pPr>
              <w:pStyle w:val="Compact"/>
              <w:jc w:val="left"/>
            </w:pPr>
            <w:r>
              <w:t xml:space="preserve">Executive board briefing presentation (90 minutes, including Q&amp;A and follow-up documentation)</w:t>
            </w:r>
          </w:p>
        </w:tc>
        <w:tc>
          <w:tcPr/>
          <w:p>
            <w:pPr>
              <w:pStyle w:val="Compact"/>
              <w:jc w:val="left"/>
            </w:pPr>
            <w:r>
              <w:t xml:space="preserve">1 session</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Ongoing advisory support via email and telephone (response within 24 business hours)</w:t>
            </w:r>
          </w:p>
        </w:tc>
        <w:tc>
          <w:tcPr/>
          <w:p>
            <w:pPr>
              <w:pStyle w:val="Compact"/>
              <w:jc w:val="left"/>
            </w:pPr>
            <w:r>
              <w:t xml:space="preserve">12 weeks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Travel and local transportation within the Canada Toronto metropolitan area (including Mississauga, Vaughan, and Markham satellite offices)</w:t>
            </w:r>
          </w:p>
        </w:tc>
        <w:tc>
          <w:tcPr/>
          <w:p>
            <w:pPr>
              <w:pStyle w:val="Compact"/>
              <w:jc w:val="left"/>
            </w:pPr>
            <w:r>
              <w:t xml:space="preserve">Estimate</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Specialized software licensing and data access fees (Stata, R, and proprietary economic databases)</w:t>
            </w:r>
          </w:p>
        </w:tc>
        <w:tc>
          <w:tcPr/>
          <w:p>
            <w:pPr>
              <w:pStyle w:val="Compact"/>
              <w:jc w:val="left"/>
            </w:pPr>
            <w:r>
              <w:t xml:space="preserve">12 weeks</w:t>
            </w:r>
          </w:p>
        </w:tc>
        <w:tc>
          <w:tcPr/>
          <w:p>
            <w:pPr>
              <w:pStyle w:val="Compact"/>
              <w:jc w:val="left"/>
            </w:pPr>
            <w:r>
              <w:t xml:space="preserve">—</w:t>
            </w:r>
          </w:p>
        </w:tc>
        <w:tc>
          <w:tcPr/>
          <w:p>
            <w:pPr>
              <w:pStyle w:val="Compact"/>
              <w:jc w:val="left"/>
            </w:pPr>
            <w:r>
              <w:t xml:space="preserve">$1,850.00</w:t>
            </w:r>
          </w:p>
        </w:tc>
      </w:tr>
      <w:tr>
        <w:tc>
          <w:tcPr>
            <w:gridSpan w:val="4"/>
          </w:tcPr>
          <w:p>
            <w:pPr>
              <w:pStyle w:val="Compact"/>
              <w:jc w:val="right"/>
            </w:pPr>
            <w:r>
              <w:t xml:space="preserve">Subtotal (CAD)</w:t>
            </w:r>
          </w:p>
        </w:tc>
        <w:tc>
          <w:tcPr/>
          <w:p>
            <w:pPr>
              <w:pStyle w:val="Compact"/>
              <w:jc w:val="left"/>
            </w:pPr>
            <w:r>
              <w:t xml:space="preserve">$75,750.00</w:t>
            </w:r>
          </w:p>
        </w:tc>
      </w:tr>
      <w:tr>
        <w:tc>
          <w:tcPr>
            <w:gridSpan w:val="4"/>
          </w:tcPr>
          <w:p>
            <w:pPr>
              <w:pStyle w:val="Compact"/>
              <w:jc w:val="right"/>
            </w:pPr>
            <w:r>
              <w:t xml:space="preserve">HST (13% – Ontario, Canada)</w:t>
            </w:r>
          </w:p>
        </w:tc>
        <w:tc>
          <w:tcPr/>
          <w:p>
            <w:pPr>
              <w:pStyle w:val="Compact"/>
              <w:jc w:val="left"/>
            </w:pPr>
            <w:r>
              <w:t xml:space="preserve">$9,847.50</w:t>
            </w:r>
          </w:p>
        </w:tc>
      </w:tr>
      <w:tr>
        <w:tc>
          <w:tcPr>
            <w:gridSpan w:val="4"/>
          </w:tcPr>
          <w:p>
            <w:pPr>
              <w:pStyle w:val="Compact"/>
              <w:jc w:val="right"/>
            </w:pPr>
            <w:r>
              <w:t xml:space="preserve">GRAND TOTAL (CAD)</w:t>
            </w:r>
          </w:p>
        </w:tc>
        <w:tc>
          <w:tcPr/>
          <w:p>
            <w:pPr>
              <w:pStyle w:val="Compact"/>
              <w:jc w:val="left"/>
            </w:pPr>
            <w:r>
              <w:t xml:space="preserve">$85,597.50</w:t>
            </w:r>
          </w:p>
        </w:tc>
      </w:tr>
    </w:tbl>
    <w:p>
      <w:pPr>
        <w:pStyle w:val="BodyText"/>
      </w:pPr>
      <w:r>
        <w:rPr>
          <w:bCs/>
          <w:b/>
        </w:rPr>
        <w:t xml:space="preserve">Note:</w:t>
      </w:r>
      <w:r>
        <w:t xml:space="preserve"> </w:t>
      </w:r>
      <w:r>
        <w:t xml:space="preserve">All monetary values in this Quotation Estimate are expressed in Canadian Dollars (CAD). The Harmonized Sales Tax (HST) rate of 13% applicable in the Province of Ontario, Canada Toronto, has been included. Should the client's operations extend to other Canadian provinces, applicable provincial tax rates will be adjusted accordingly upon written request.</w:t>
      </w:r>
    </w:p>
    <w:bookmarkEnd w:id="23"/>
    <w:bookmarkStart w:id="24" w:name="payment-terms"/>
    <w:p>
      <w:pPr>
        <w:pStyle w:val="Heading2"/>
      </w:pPr>
      <w:r>
        <w:t xml:space="preserve">4. Payment Terms</w:t>
      </w:r>
    </w:p>
    <w:p>
      <w:pPr>
        <w:numPr>
          <w:ilvl w:val="0"/>
          <w:numId w:val="1001"/>
        </w:numPr>
        <w:pStyle w:val="Compact"/>
      </w:pPr>
      <w:r>
        <w:rPr>
          <w:bCs/>
          <w:b/>
        </w:rPr>
        <w:t xml:space="preserve">Deposit:</w:t>
      </w:r>
      <w:r>
        <w:t xml:space="preserve"> </w:t>
      </w:r>
      <w:r>
        <w:t xml:space="preserve">30% of the Grand Total ($25,679.25 CAD) is due upon acceptance of this Quotation Estimate and execution of the formal service agreement. This deposit secures the Professor's calendar availability for the 12-week engagement period.</w:t>
      </w:r>
    </w:p>
    <w:p>
      <w:pPr>
        <w:numPr>
          <w:ilvl w:val="0"/>
          <w:numId w:val="1001"/>
        </w:numPr>
        <w:pStyle w:val="Compact"/>
      </w:pPr>
      <w:r>
        <w:rPr>
          <w:bCs/>
          <w:b/>
        </w:rPr>
        <w:t xml:space="preserve">Progress Payment:</w:t>
      </w:r>
      <w:r>
        <w:t xml:space="preserve"> </w:t>
      </w:r>
      <w:r>
        <w:t xml:space="preserve">40% of the Grand Total ($34,239.00 CAD) is due at the completion of Week 6 of the consulting program, coinciding with the delivery of the interim research findings memorandum.</w:t>
      </w:r>
    </w:p>
    <w:p>
      <w:pPr>
        <w:numPr>
          <w:ilvl w:val="0"/>
          <w:numId w:val="1001"/>
        </w:numPr>
        <w:pStyle w:val="Compact"/>
      </w:pPr>
      <w:r>
        <w:rPr>
          <w:bCs/>
          <w:b/>
        </w:rPr>
        <w:t xml:space="preserve">Final Payment:</w:t>
      </w:r>
      <w:r>
        <w:t xml:space="preserve"> </w:t>
      </w:r>
      <w:r>
        <w:t xml:space="preserve">The remaining 30% of the Grand Total ($25,679.25 CAD) is due within 14 calendar days of the delivery of the final research report and the executive board briefing presentation.</w:t>
      </w:r>
    </w:p>
    <w:p>
      <w:pPr>
        <w:numPr>
          <w:ilvl w:val="0"/>
          <w:numId w:val="1001"/>
        </w:numPr>
        <w:pStyle w:val="Compact"/>
      </w:pPr>
      <w:r>
        <w:rPr>
          <w:bCs/>
          <w:b/>
        </w:rPr>
        <w:t xml:space="preserve">Payment Method:</w:t>
      </w:r>
      <w:r>
        <w:t xml:space="preserve"> </w:t>
      </w:r>
      <w:r>
        <w:t xml:space="preserve">All payments shall be made via electronic funds transfer (EFT) to the designated account of the Professor's consulting entity, registered in Toronto, Ontario, Canada. Cheques payable to "Thornton Academic Consulting Inc." are also accepted.</w:t>
      </w:r>
    </w:p>
    <w:p>
      <w:pPr>
        <w:numPr>
          <w:ilvl w:val="0"/>
          <w:numId w:val="1001"/>
        </w:numPr>
        <w:pStyle w:val="Compact"/>
      </w:pPr>
      <w:r>
        <w:rPr>
          <w:bCs/>
          <w:b/>
        </w:rPr>
        <w:t xml:space="preserve">Late Payment:</w:t>
      </w:r>
      <w:r>
        <w:t xml:space="preserve"> </w:t>
      </w:r>
      <w:r>
        <w:t xml:space="preserve">Overdue balances shall accrue interest at a rate of 1.5% per month, in compliance with the Ontario</w:t>
      </w:r>
      <w:r>
        <w:t xml:space="preserve"> </w:t>
      </w:r>
      <w:r>
        <w:rPr>
          <w:iCs/>
          <w:i/>
        </w:rPr>
        <w:t xml:space="preserve">Interest Act</w:t>
      </w:r>
      <w:r>
        <w:t xml:space="preserve"> </w:t>
      </w:r>
      <w:r>
        <w:t xml:space="preserve">and applicable Canadian commercial law.</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30 calendar days from the date of issue. After the expiry date, all rates and availability are subject to revision.</w:t>
      </w:r>
    </w:p>
    <w:p>
      <w:pPr>
        <w:numPr>
          <w:ilvl w:val="0"/>
          <w:numId w:val="1002"/>
        </w:numPr>
        <w:pStyle w:val="Compact"/>
      </w:pPr>
      <w:r>
        <w:t xml:space="preserve">The Professor reserves the right to decline or modify the scope of work if the engagement conflicts with existing academic obligations at the University of Toronto or other institutional commitments within Canada Toronto.</w:t>
      </w:r>
    </w:p>
    <w:p>
      <w:pPr>
        <w:numPr>
          <w:ilvl w:val="0"/>
          <w:numId w:val="1002"/>
        </w:numPr>
        <w:pStyle w:val="Compact"/>
      </w:pPr>
      <w:r>
        <w:t xml:space="preserve">All intellectual property, research findings, and deliverables produced under this engagement shall become the sole property of the client upon full and final payment. The Professor retains the right to reference the engagement in academic publications with the client's prior written consent.</w:t>
      </w:r>
    </w:p>
    <w:p>
      <w:pPr>
        <w:numPr>
          <w:ilvl w:val="0"/>
          <w:numId w:val="1002"/>
        </w:numPr>
        <w:pStyle w:val="Compact"/>
      </w:pPr>
      <w:r>
        <w:t xml:space="preserve">Confidentiality: The Professor and all associated research assistants shall adhere to a strict non-disclosure agreement (NDA) in accordance with the</w:t>
      </w:r>
      <w:r>
        <w:t xml:space="preserve"> </w:t>
      </w:r>
      <w:r>
        <w:rPr>
          <w:iCs/>
          <w:i/>
        </w:rPr>
        <w:t xml:space="preserve">Personal Information Protection and Electronic Documents Act</w:t>
      </w:r>
      <w:r>
        <w:t xml:space="preserve"> </w:t>
      </w:r>
      <w:r>
        <w:t xml:space="preserve">(PIPEDA) of Canada and Ontario's</w:t>
      </w:r>
      <w:r>
        <w:t xml:space="preserve"> </w:t>
      </w:r>
      <w:r>
        <w:rPr>
          <w:iCs/>
          <w:i/>
        </w:rPr>
        <w:t xml:space="preserve">Personal Information Protection Act</w:t>
      </w:r>
      <w:r>
        <w:t xml:space="preserve"> </w:t>
      </w:r>
      <w:r>
        <w:t xml:space="preserve">(PIPA).</w:t>
      </w:r>
    </w:p>
    <w:p>
      <w:pPr>
        <w:numPr>
          <w:ilvl w:val="0"/>
          <w:numId w:val="1002"/>
        </w:numPr>
        <w:pStyle w:val="Compact"/>
      </w:pPr>
      <w:r>
        <w:t xml:space="preserve">Cancellation: Should the client cancel the engagement prior to commencement, the 30% deposit shall be non-refundable. Cancellation after Week 1 but before Week 6 shall result in a 50% refund of the deposit. Cancellation after Week 6 shall forfeit the deposit in full.</w:t>
      </w:r>
    </w:p>
    <w:p>
      <w:pPr>
        <w:numPr>
          <w:ilvl w:val="0"/>
          <w:numId w:val="1002"/>
        </w:numPr>
        <w:pStyle w:val="Compact"/>
      </w:pPr>
      <w:r>
        <w:t xml:space="preserve">Force Majeure: Neither party shall be held liable for delays or non-performance resulting from events beyond reasonable control, including but not limited to natural disasters, public health emergencies, or government-mandated closures affecting operations in Canada Toronto.</w:t>
      </w:r>
    </w:p>
    <w:p>
      <w:pPr>
        <w:numPr>
          <w:ilvl w:val="0"/>
          <w:numId w:val="1002"/>
        </w:numPr>
        <w:pStyle w:val="Compact"/>
      </w:pPr>
      <w:r>
        <w:t xml:space="preserve">Governing Law: This Quotation Estimate and any resulting service agreement shall be governed by and construed in accordance with the laws of the Province of Ontario and the federal laws of Canada applicable therein.</w:t>
      </w:r>
    </w:p>
    <w:p>
      <w:pPr>
        <w:numPr>
          <w:ilvl w:val="0"/>
          <w:numId w:val="1002"/>
        </w:numPr>
        <w:pStyle w:val="Compact"/>
      </w:pPr>
      <w:r>
        <w:t xml:space="preserve">Dispute Resolution: Any disputes arising from this engagement shall first be subject to good-faith mediation in Toronto, Ontario. Should mediation fail, disputes shall be resolved through binding arbitration under the rules of the Arbitration Association of Canada, with the seat of arbitration in Toronto.</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pricing outlined in this Quotation Estimate for the Professor's professional services in Canada Toronto. This document, once countersigned by both parties, constitutes a binding preliminary agreement pending the execution of the full Master Service Agreement.</w:t>
      </w:r>
    </w:p>
    <w:p>
      <w:pPr>
        <w:pStyle w:val="BodyText"/>
      </w:pPr>
      <w:r>
        <w:rPr>
          <w:bCs/>
          <w:b/>
        </w:rPr>
        <w:t xml:space="preserve">For the Professor (Service Provider):</w:t>
      </w:r>
    </w:p>
    <w:p>
      <w:pPr>
        <w:pStyle w:val="BodyText"/>
      </w:pPr>
      <w:r>
        <w:t xml:space="preserve">Dr. Margaret A. Thornton</w:t>
      </w:r>
      <w:r>
        <w:br/>
      </w:r>
      <w:r>
        <w:t xml:space="preserve">Professor of Applied Economics</w:t>
      </w:r>
      <w:r>
        <w:br/>
      </w:r>
      <w:r>
        <w:t xml:space="preserve">Date: ______________________</w:t>
      </w:r>
    </w:p>
    <w:p>
      <w:pPr>
        <w:pStyle w:val="BodyText"/>
      </w:pPr>
      <w:r>
        <w:rPr>
          <w:bCs/>
          <w:b/>
        </w:rPr>
        <w:t xml:space="preserve">For the Client (Meridian Strategic Advisory Group Inc.):</w:t>
      </w:r>
    </w:p>
    <w:p>
      <w:pPr>
        <w:pStyle w:val="BodyText"/>
      </w:pPr>
      <w:r>
        <w:t xml:space="preserve">Mr. David Chen</w:t>
      </w:r>
      <w:r>
        <w:br/>
      </w:r>
      <w:r>
        <w:t xml:space="preserve">Director of Research &amp; Development</w:t>
      </w:r>
      <w:r>
        <w:br/>
      </w:r>
      <w:r>
        <w:t xml:space="preserve">Date: ______________________</w:t>
      </w:r>
    </w:p>
    <w:p>
      <w:pPr>
        <w:pStyle w:val="BodyText"/>
      </w:pPr>
      <w:r>
        <w:t xml:space="preserve">Quotation Estimate QTE-2025-TOR-0472 | Thornton Academic Consulting Inc. | 253 Bloor Street West, Toronto, ON M5S 1V6, Canada</w:t>
      </w:r>
    </w:p>
    <w:p>
      <w:pPr>
        <w:pStyle w:val="BodyText"/>
      </w:pPr>
      <w:r>
        <w:t xml:space="preserve">Phone: +1 (416) 555-0234 | Email: m.thornton@thorntonconsulting.ca | Business Number: 12345 6789 RT0001</w:t>
      </w:r>
    </w:p>
    <w:p>
      <w:pPr>
        <w:pStyle w:val="BodyText"/>
      </w:pPr>
      <w:r>
        <w:t xml:space="preserve">This document is generated for the Canada Toronto region and is subject to Ontario provincial and Canadian federal regulatory requirements.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Canada Toronto</dc:title>
  <dc:creator/>
  <dc:language>en</dc:language>
  <cp:keywords/>
  <dcterms:created xsi:type="dcterms:W3CDTF">2026-10-10T02:28:57Z</dcterms:created>
  <dcterms:modified xsi:type="dcterms:W3CDTF">2026-10-10T02:28:57Z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