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Alexandria,</w:t>
      </w:r>
      <w:r>
        <w:t xml:space="preserve"> </w:t>
      </w:r>
      <w:r>
        <w:t xml:space="preserve">Egypt</w:t>
      </w:r>
    </w:p>
    <w:bookmarkStart w:id="20" w:name="quotation-estimate"/>
    <w:p>
      <w:pPr>
        <w:pStyle w:val="Heading1"/>
      </w:pPr>
      <w:r>
        <w:t xml:space="preserve">QUOTATION ESTIMATE</w:t>
      </w:r>
    </w:p>
    <w:p>
      <w:pPr>
        <w:pStyle w:val="FirstParagraph"/>
      </w:pPr>
      <w:r>
        <w:t xml:space="preserve">Professional Academic Services — Alexandria, Egypt</w:t>
      </w:r>
    </w:p>
    <w:p>
      <w:pPr>
        <w:pStyle w:val="BodyText"/>
      </w:pPr>
      <w:r>
        <w:t xml:space="preserve">Document Reference: QE-ALX-2025-0472 | Issued in Alexandria, Egypt</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Date: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Office of the Professor, Faculty of Applied Sciences, Alexandria University, El-Montazah, Alexandria, Egypt</w:t>
            </w:r>
          </w:p>
        </w:tc>
      </w:tr>
      <w:tr>
        <w:tc>
          <w:tcPr/>
          <w:p>
            <w:pPr>
              <w:pStyle w:val="Compact"/>
              <w:jc w:val="left"/>
            </w:pPr>
            <w:r>
              <w:t xml:space="preserve">Prepared For:</w:t>
            </w:r>
          </w:p>
        </w:tc>
        <w:tc>
          <w:tcPr/>
          <w:p>
            <w:pPr>
              <w:pStyle w:val="Compact"/>
              <w:jc w:val="left"/>
            </w:pPr>
            <w:r>
              <w:t xml:space="preserve">Client / Requesting Organization (Name to be confirmed upon acceptance)</w:t>
            </w:r>
          </w:p>
        </w:tc>
      </w:tr>
      <w:tr>
        <w:tc>
          <w:tcPr/>
          <w:p>
            <w:pPr>
              <w:pStyle w:val="Compact"/>
              <w:jc w:val="left"/>
            </w:pPr>
            <w:r>
              <w:t xml:space="preserve">Location of Service:</w:t>
            </w:r>
          </w:p>
        </w:tc>
        <w:tc>
          <w:tcPr/>
          <w:p>
            <w:pPr>
              <w:pStyle w:val="Compact"/>
              <w:jc w:val="left"/>
            </w:pPr>
            <w:r>
              <w:t xml:space="preserve">Alexandria, Egypt — Primary office at 24 El-Montazah Street, Alexandria 21542, Egypt</w:t>
            </w:r>
          </w:p>
        </w:tc>
      </w:tr>
      <w:tr>
        <w:tc>
          <w:tcPr/>
          <w:p>
            <w:pPr>
              <w:pStyle w:val="Compact"/>
              <w:jc w:val="left"/>
            </w:pPr>
            <w:r>
              <w:t xml:space="preserve">Currency:</w:t>
            </w:r>
          </w:p>
        </w:tc>
        <w:tc>
          <w:tcPr/>
          <w:p>
            <w:pPr>
              <w:pStyle w:val="Compact"/>
              <w:jc w:val="left"/>
            </w:pPr>
            <w:r>
              <w:t xml:space="preserve">Egyptian Pound (EGP) / US Dollar (USD) as applicable</w:t>
            </w:r>
          </w:p>
        </w:tc>
      </w:tr>
    </w:tbl>
    <w:bookmarkStart w:id="21" w:name="X1ede20e0f9f8ccbd033c0e75b229c81f7a11c47"/>
    <w:p>
      <w:pPr>
        <w:pStyle w:val="Heading2"/>
      </w:pPr>
      <w:r>
        <w:t xml:space="preserve">1. Scope of Services — Professor Engagement in Alexandria, Egypt</w:t>
      </w:r>
    </w:p>
    <w:p>
      <w:pPr>
        <w:pStyle w:val="FirstParagraph"/>
      </w:pPr>
      <w:r>
        <w:t xml:space="preserve">This</w:t>
      </w:r>
      <w:r>
        <w:t xml:space="preserve"> </w:t>
      </w:r>
      <w:r>
        <w:t xml:space="preserve">Quotation Estimate</w:t>
      </w:r>
      <w:r>
        <w:t xml:space="preserve"> </w:t>
      </w:r>
      <w:r>
        <w:t xml:space="preserve">is issued in connection with the professional engagement of a</w:t>
      </w:r>
      <w:r>
        <w:t xml:space="preserve"> </w:t>
      </w:r>
      <w:r>
        <w:t xml:space="preserve">Professor</w:t>
      </w:r>
      <w:r>
        <w:t xml:space="preserve"> </w:t>
      </w:r>
      <w:r>
        <w:t xml:space="preserve">of Applied Sciences and Engineering based in</w:t>
      </w:r>
      <w:r>
        <w:t xml:space="preserve"> </w:t>
      </w:r>
      <w:r>
        <w:t xml:space="preserve">Alexandria, Egypt</w:t>
      </w:r>
      <w:r>
        <w:t xml:space="preserve">. The Professor, holding a Doctorate in Mechanical Engineering from Alexandria University with over twenty-two years of academic and industrial experience, offers a comprehensive suite of academic consulting, research supervision, lecture delivery, and technical advisory services. All services described herein shall be rendered primarily at the Professor's office in Alexandria, Egypt, or at such other location within the Alexandria metropolitan area as mutually agreed upon by both parties.</w:t>
      </w:r>
    </w:p>
    <w:p>
      <w:pPr>
        <w:pStyle w:val="BodyText"/>
      </w:pPr>
      <w:r>
        <w:t xml:space="preserve">This Quotation Estimate has been prepared in accordance with the professional standards of the Egyptian Higher Education Ministry and the academic regulations governing the engagement of university faculty members for external professional services in Alexandria, Egypt.</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Quantity</w:t>
            </w:r>
          </w:p>
        </w:tc>
        <w:tc>
          <w:tcPr/>
          <w:p>
            <w:pPr>
              <w:pStyle w:val="Compact"/>
              <w:jc w:val="left"/>
            </w:pPr>
            <w:r>
              <w:t xml:space="preserve">Unit Rate (EGP)</w:t>
            </w:r>
          </w:p>
        </w:tc>
        <w:tc>
          <w:tcPr/>
          <w:p>
            <w:pPr>
              <w:pStyle w:val="Compact"/>
              <w:jc w:val="left"/>
            </w:pPr>
            <w:r>
              <w:t xml:space="preserve">Subtotal (EGP)</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Executive Academic Consulting — Strategic research planning and curriculum development advisory sessions conducted by the Professor at the Alexandria office</w:t>
            </w:r>
          </w:p>
        </w:tc>
        <w:tc>
          <w:tcPr/>
          <w:p>
            <w:pPr>
              <w:pStyle w:val="Compact"/>
              <w:jc w:val="left"/>
            </w:pPr>
            <w:r>
              <w:t xml:space="preserve">12 hours</w:t>
            </w:r>
          </w:p>
        </w:tc>
        <w:tc>
          <w:tcPr/>
          <w:p>
            <w:pPr>
              <w:pStyle w:val="Compact"/>
              <w:jc w:val="left"/>
            </w:pPr>
            <w:r>
              <w:t xml:space="preserve">2,500</w:t>
            </w:r>
          </w:p>
        </w:tc>
        <w:tc>
          <w:tcPr/>
          <w:p>
            <w:pPr>
              <w:pStyle w:val="Compact"/>
              <w:jc w:val="left"/>
            </w:pPr>
            <w:r>
              <w:t xml:space="preserve">30,000</w:t>
            </w:r>
          </w:p>
        </w:tc>
        <w:tc>
          <w:tcPr/>
          <w:p>
            <w:pPr>
              <w:pStyle w:val="Compact"/>
              <w:jc w:val="left"/>
            </w:pPr>
            <w:r>
              <w:t xml:space="preserve">Includes preparation time</w:t>
            </w:r>
          </w:p>
        </w:tc>
      </w:tr>
      <w:tr>
        <w:tc>
          <w:tcPr/>
          <w:p>
            <w:pPr>
              <w:pStyle w:val="Compact"/>
              <w:jc w:val="left"/>
            </w:pPr>
            <w:r>
              <w:t xml:space="preserve">2</w:t>
            </w:r>
          </w:p>
        </w:tc>
        <w:tc>
          <w:tcPr/>
          <w:p>
            <w:pPr>
              <w:pStyle w:val="Compact"/>
              <w:jc w:val="left"/>
            </w:pPr>
            <w:r>
              <w:t xml:space="preserve">Guest Lecture Series — Delivery of specialized lectures on Advanced Engineering Systems at a client-designated venue in Alexandria, Egypt</w:t>
            </w:r>
          </w:p>
        </w:tc>
        <w:tc>
          <w:tcPr/>
          <w:p>
            <w:pPr>
              <w:pStyle w:val="Compact"/>
              <w:jc w:val="left"/>
            </w:pPr>
            <w:r>
              <w:t xml:space="preserve">8 sessions (3 hrs each)</w:t>
            </w:r>
          </w:p>
        </w:tc>
        <w:tc>
          <w:tcPr/>
          <w:p>
            <w:pPr>
              <w:pStyle w:val="Compact"/>
              <w:jc w:val="left"/>
            </w:pPr>
            <w:r>
              <w:t xml:space="preserve">4,000</w:t>
            </w:r>
          </w:p>
        </w:tc>
        <w:tc>
          <w:tcPr/>
          <w:p>
            <w:pPr>
              <w:pStyle w:val="Compact"/>
              <w:jc w:val="left"/>
            </w:pPr>
            <w:r>
              <w:t xml:space="preserve">32,000</w:t>
            </w:r>
          </w:p>
        </w:tc>
        <w:tc>
          <w:tcPr/>
          <w:p>
            <w:pPr>
              <w:pStyle w:val="Compact"/>
              <w:jc w:val="left"/>
            </w:pPr>
            <w:r>
              <w:t xml:space="preserve">Travel within Alexandria included</w:t>
            </w:r>
          </w:p>
        </w:tc>
      </w:tr>
      <w:tr>
        <w:tc>
          <w:tcPr/>
          <w:p>
            <w:pPr>
              <w:pStyle w:val="Compact"/>
              <w:jc w:val="left"/>
            </w:pPr>
            <w:r>
              <w:t xml:space="preserve">3</w:t>
            </w:r>
          </w:p>
        </w:tc>
        <w:tc>
          <w:tcPr/>
          <w:p>
            <w:pPr>
              <w:pStyle w:val="Compact"/>
              <w:jc w:val="left"/>
            </w:pPr>
            <w:r>
              <w:t xml:space="preserve">Research Supervision — Ongoing mentorship and thesis supervision for up to four (4) graduate students enrolled at Alexandria University</w:t>
            </w:r>
          </w:p>
        </w:tc>
        <w:tc>
          <w:tcPr/>
          <w:p>
            <w:pPr>
              <w:pStyle w:val="Compact"/>
              <w:jc w:val="left"/>
            </w:pPr>
            <w:r>
              <w:t xml:space="preserve">6 months</w:t>
            </w:r>
          </w:p>
        </w:tc>
        <w:tc>
          <w:tcPr/>
          <w:p>
            <w:pPr>
              <w:pStyle w:val="Compact"/>
              <w:jc w:val="left"/>
            </w:pPr>
            <w:r>
              <w:t xml:space="preserve">8,000</w:t>
            </w:r>
          </w:p>
        </w:tc>
        <w:tc>
          <w:tcPr/>
          <w:p>
            <w:pPr>
              <w:pStyle w:val="Compact"/>
              <w:jc w:val="left"/>
            </w:pPr>
            <w:r>
              <w:t xml:space="preserve">48,000</w:t>
            </w:r>
          </w:p>
        </w:tc>
        <w:tc>
          <w:tcPr/>
          <w:p>
            <w:pPr>
              <w:pStyle w:val="Compact"/>
              <w:jc w:val="left"/>
            </w:pPr>
            <w:r>
              <w:t xml:space="preserve">Per student per semester</w:t>
            </w:r>
          </w:p>
        </w:tc>
      </w:tr>
      <w:tr>
        <w:tc>
          <w:tcPr/>
          <w:p>
            <w:pPr>
              <w:pStyle w:val="Compact"/>
              <w:jc w:val="left"/>
            </w:pPr>
            <w:r>
              <w:t xml:space="preserve">4</w:t>
            </w:r>
          </w:p>
        </w:tc>
        <w:tc>
          <w:tcPr/>
          <w:p>
            <w:pPr>
              <w:pStyle w:val="Compact"/>
              <w:jc w:val="left"/>
            </w:pPr>
            <w:r>
              <w:t xml:space="preserve">Technical Report Review — Comprehensive peer review of engineering feasibility studies and technical documentation</w:t>
            </w:r>
          </w:p>
        </w:tc>
        <w:tc>
          <w:tcPr/>
          <w:p>
            <w:pPr>
              <w:pStyle w:val="Compact"/>
              <w:jc w:val="left"/>
            </w:pPr>
            <w:r>
              <w:t xml:space="preserve">5 reports</w:t>
            </w:r>
          </w:p>
        </w:tc>
        <w:tc>
          <w:tcPr/>
          <w:p>
            <w:pPr>
              <w:pStyle w:val="Compact"/>
              <w:jc w:val="left"/>
            </w:pPr>
            <w:r>
              <w:t xml:space="preserve">3,500</w:t>
            </w:r>
          </w:p>
        </w:tc>
        <w:tc>
          <w:tcPr/>
          <w:p>
            <w:pPr>
              <w:pStyle w:val="Compact"/>
              <w:jc w:val="left"/>
            </w:pPr>
            <w:r>
              <w:t xml:space="preserve">17,500</w:t>
            </w:r>
          </w:p>
        </w:tc>
        <w:tc>
          <w:tcPr/>
          <w:p>
            <w:pPr>
              <w:pStyle w:val="Compact"/>
              <w:jc w:val="left"/>
            </w:pPr>
            <w:r>
              <w:t xml:space="preserve">Written feedback within 10 business days</w:t>
            </w:r>
          </w:p>
        </w:tc>
      </w:tr>
      <w:tr>
        <w:tc>
          <w:tcPr/>
          <w:p>
            <w:pPr>
              <w:pStyle w:val="Compact"/>
              <w:jc w:val="left"/>
            </w:pPr>
            <w:r>
              <w:t xml:space="preserve">5</w:t>
            </w:r>
          </w:p>
        </w:tc>
        <w:tc>
          <w:tcPr/>
          <w:p>
            <w:pPr>
              <w:pStyle w:val="Compact"/>
              <w:jc w:val="left"/>
            </w:pPr>
            <w:r>
              <w:t xml:space="preserve">Workshop Facilitation — Design and delivery of a two-day professional development workshop on Sustainable Engineering Practices in Alexandria, Egypt</w:t>
            </w:r>
          </w:p>
        </w:tc>
        <w:tc>
          <w:tcPr/>
          <w:p>
            <w:pPr>
              <w:pStyle w:val="Compact"/>
              <w:jc w:val="left"/>
            </w:pPr>
            <w:r>
              <w:t xml:space="preserve">2 days (16 hrs)</w:t>
            </w:r>
          </w:p>
        </w:tc>
        <w:tc>
          <w:tcPr/>
          <w:p>
            <w:pPr>
              <w:pStyle w:val="Compact"/>
              <w:jc w:val="left"/>
            </w:pPr>
            <w:r>
              <w:t xml:space="preserve">6,000</w:t>
            </w:r>
          </w:p>
        </w:tc>
        <w:tc>
          <w:tcPr/>
          <w:p>
            <w:pPr>
              <w:pStyle w:val="Compact"/>
              <w:jc w:val="left"/>
            </w:pPr>
            <w:r>
              <w:t xml:space="preserve">12,000</w:t>
            </w:r>
          </w:p>
        </w:tc>
        <w:tc>
          <w:tcPr/>
          <w:p>
            <w:pPr>
              <w:pStyle w:val="Compact"/>
              <w:jc w:val="left"/>
            </w:pPr>
            <w:r>
              <w:t xml:space="preserve">Materials and handouts included</w:t>
            </w:r>
          </w:p>
        </w:tc>
      </w:tr>
      <w:tr>
        <w:tc>
          <w:tcPr/>
          <w:p>
            <w:pPr>
              <w:pStyle w:val="Compact"/>
              <w:jc w:val="left"/>
            </w:pPr>
            <w:r>
              <w:t xml:space="preserve">6</w:t>
            </w:r>
          </w:p>
        </w:tc>
        <w:tc>
          <w:tcPr/>
          <w:p>
            <w:pPr>
              <w:pStyle w:val="Compact"/>
              <w:jc w:val="left"/>
            </w:pPr>
            <w:r>
              <w:t xml:space="preserve">Administrative &amp; Coordination Fees — Scheduling, correspondence, document preparation, and liaison with Alexandria University administration</w:t>
            </w:r>
          </w:p>
        </w:tc>
        <w:tc>
          <w:tcPr/>
          <w:p>
            <w:pPr>
              <w:pStyle w:val="Compact"/>
              <w:jc w:val="left"/>
            </w:pPr>
            <w:r>
              <w:t xml:space="preserve">Flat fee</w:t>
            </w:r>
          </w:p>
        </w:tc>
        <w:tc>
          <w:tcPr/>
          <w:p>
            <w:pPr>
              <w:pStyle w:val="Compact"/>
              <w:jc w:val="left"/>
            </w:pPr>
            <w:r>
              <w:t xml:space="preserve">5,000</w:t>
            </w:r>
          </w:p>
        </w:tc>
        <w:tc>
          <w:tcPr/>
          <w:p>
            <w:pPr>
              <w:pStyle w:val="Compact"/>
              <w:jc w:val="left"/>
            </w:pPr>
            <w:r>
              <w:t xml:space="preserve">5,000</w:t>
            </w:r>
          </w:p>
        </w:tc>
        <w:tc>
          <w:tcPr/>
          <w:p>
            <w:pPr>
              <w:pStyle w:val="Compact"/>
              <w:jc w:val="left"/>
            </w:pPr>
            <w:r>
              <w:t xml:space="preserve">One-time charge</w:t>
            </w:r>
          </w:p>
        </w:tc>
      </w:tr>
      <w:tr>
        <w:tc>
          <w:tcPr>
            <w:gridSpan w:val="4"/>
          </w:tcPr>
          <w:p>
            <w:pPr>
              <w:pStyle w:val="Compact"/>
              <w:jc w:val="right"/>
            </w:pPr>
            <w:r>
              <w:t xml:space="preserve">TOTAL ESTIMATED COST (EGP):</w:t>
            </w:r>
          </w:p>
        </w:tc>
        <w:tc>
          <w:tcPr/>
          <w:p>
            <w:pPr>
              <w:pStyle w:val="Compact"/>
              <w:jc w:val="left"/>
            </w:pPr>
            <w:r>
              <w:t xml:space="preserve">144,500</w:t>
            </w:r>
          </w:p>
        </w:tc>
        <w:tc>
          <w:tcPr/>
          <w:p>
            <w:pPr>
              <w:pStyle w:val="Compact"/>
            </w:pPr>
          </w:p>
        </w:tc>
      </w:tr>
      <w:tr>
        <w:tc>
          <w:tcPr>
            <w:gridSpan w:val="4"/>
          </w:tcPr>
          <w:p>
            <w:pPr>
              <w:pStyle w:val="Compact"/>
              <w:jc w:val="right"/>
            </w:pPr>
            <w:r>
              <w:t xml:space="preserve">TOTAL ESTIMATED COST (USD, approx. at EGP 48/USD):</w:t>
            </w:r>
          </w:p>
        </w:tc>
        <w:tc>
          <w:tcPr/>
          <w:p>
            <w:pPr>
              <w:pStyle w:val="Compact"/>
              <w:jc w:val="left"/>
            </w:pPr>
            <w:r>
              <w:t xml:space="preserve">$3,010.42</w:t>
            </w:r>
          </w:p>
        </w:tc>
        <w:tc>
          <w:tcPr/>
          <w:p>
            <w:pPr>
              <w:pStyle w:val="Compact"/>
            </w:pPr>
          </w:p>
        </w:tc>
      </w:tr>
    </w:tbl>
    <w:bookmarkEnd w:id="22"/>
    <w:bookmarkStart w:id="23" w:name="terms-and-conditions"/>
    <w:p>
      <w:pPr>
        <w:pStyle w:val="Heading2"/>
      </w:pPr>
      <w:r>
        <w:t xml:space="preserve">3. Terms and Conditions</w:t>
      </w:r>
    </w:p>
    <w:p>
      <w:pPr>
        <w:numPr>
          <w:ilvl w:val="0"/>
          <w:numId w:val="1001"/>
        </w:numPr>
        <w:pStyle w:val="Compact"/>
      </w:pPr>
      <w:r>
        <w:t xml:space="preserve">This Quotation Estimate is valid for a period of thirty (30) calendar days from the date of issue. Beyond this period, all rates are subject to revision based on prevailing economic conditions in Alexandria, Egypt.</w:t>
      </w:r>
    </w:p>
    <w:p>
      <w:pPr>
        <w:numPr>
          <w:ilvl w:val="0"/>
          <w:numId w:val="1001"/>
        </w:numPr>
        <w:pStyle w:val="Compact"/>
      </w:pPr>
      <w:r>
        <w:t xml:space="preserve">Payment terms: Fifty percent (50%) of the total estimated cost shall be due upon acceptance of this Quotation Estimate and execution of the formal service agreement. The remaining fifty percent (50%) shall be payable within fifteen (15) business days following the completion of all services.</w:t>
      </w:r>
    </w:p>
    <w:p>
      <w:pPr>
        <w:numPr>
          <w:ilvl w:val="0"/>
          <w:numId w:val="1001"/>
        </w:numPr>
        <w:pStyle w:val="Compact"/>
      </w:pPr>
      <w:r>
        <w:t xml:space="preserve">All services shall be performed by the named Professor or, in the event of documented unavailability, by a qualified associate professor from the same department at Alexandria University, subject to prior written approval by the client.</w:t>
      </w:r>
    </w:p>
    <w:p>
      <w:pPr>
        <w:numPr>
          <w:ilvl w:val="0"/>
          <w:numId w:val="1001"/>
        </w:numPr>
        <w:pStyle w:val="Compact"/>
      </w:pPr>
      <w:r>
        <w:t xml:space="preserve">Travel expenses beyond the Alexandria city limits (e.g., to Cairo, Port Said, or other Egyptian governorates) shall be billed separately at actual cost, with prior written authorization from the client.</w:t>
      </w:r>
    </w:p>
    <w:p>
      <w:pPr>
        <w:numPr>
          <w:ilvl w:val="0"/>
          <w:numId w:val="1001"/>
        </w:numPr>
        <w:pStyle w:val="Compact"/>
      </w:pPr>
      <w:r>
        <w:t xml:space="preserve">The Professor reserves the right to decline any engagement that conflicts with existing academic obligations at Alexandria University or with the ethical guidelines of the Egyptian Ministry of Higher Education.</w:t>
      </w:r>
    </w:p>
    <w:p>
      <w:pPr>
        <w:numPr>
          <w:ilvl w:val="0"/>
          <w:numId w:val="1001"/>
        </w:numPr>
        <w:pStyle w:val="Compact"/>
      </w:pPr>
      <w:r>
        <w:t xml:space="preserve">All intellectual property generated specifically for the client under this engagement shall be transferred to the client upon full payment, except for pre-existing academic works and publications of the Professor.</w:t>
      </w:r>
    </w:p>
    <w:p>
      <w:pPr>
        <w:numPr>
          <w:ilvl w:val="0"/>
          <w:numId w:val="1001"/>
        </w:numPr>
        <w:pStyle w:val="Compact"/>
      </w:pPr>
      <w:r>
        <w:t xml:space="preserve">This Quotation Estimate does not constitute a binding contract. A formal service agreement, governed by the laws of the Arab Republic of Egypt, must be executed by both parties before any services commence.</w:t>
      </w:r>
    </w:p>
    <w:p>
      <w:pPr>
        <w:numPr>
          <w:ilvl w:val="0"/>
          <w:numId w:val="1001"/>
        </w:numPr>
        <w:pStyle w:val="Compact"/>
      </w:pPr>
      <w:r>
        <w:t xml:space="preserve">Any disputes arising from this engagement shall be resolved through amicable negotiation in Alexandria, Egypt, and, failing such resolution, through the competent courts of Alexandria, Egypt.</w:t>
      </w:r>
    </w:p>
    <w:p>
      <w:pPr>
        <w:numPr>
          <w:ilvl w:val="0"/>
          <w:numId w:val="1001"/>
        </w:numPr>
        <w:pStyle w:val="Compact"/>
      </w:pPr>
      <w:r>
        <w:t xml:space="preserve">Taxes: All amounts are exclusive of applicable Value Added Tax (VAT) at the prevailing rate in Egypt (currently 14%), which shall be added to the invoice upon billing.</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and agrees to the terms and conditions outlined herein. The Professor's office in Alexandria, Egypt shall proceed with scheduling and preparation upon receipt of the initial payment as specified in Section 3, Clause 2.</w:t>
      </w:r>
    </w:p>
    <w:p>
      <w:pPr>
        <w:pStyle w:val="BodyText"/>
      </w:pPr>
      <w:r>
        <w:t xml:space="preserve">For the Professor's Office:</w:t>
      </w:r>
    </w:p>
    <w:p>
      <w:pPr>
        <w:pStyle w:val="BodyText"/>
      </w:pPr>
      <w:r>
        <w:t xml:space="preserve">Professor of Applied Sciences</w:t>
      </w:r>
      <w:r>
        <w:br/>
      </w:r>
      <w:r>
        <w:t xml:space="preserve">Alexandria University</w:t>
      </w:r>
      <w:r>
        <w:br/>
      </w:r>
      <w:r>
        <w:t xml:space="preserve">Alexandria, Egypt</w:t>
      </w:r>
    </w:p>
    <w:p>
      <w:pPr>
        <w:pStyle w:val="BodyText"/>
      </w:pPr>
      <w:r>
        <w:t xml:space="preserve">Signature &amp; Date</w:t>
      </w:r>
    </w:p>
    <w:p>
      <w:pPr>
        <w:pStyle w:val="BodyText"/>
      </w:pPr>
      <w:r>
        <w:t xml:space="preserve">For the Client / Requesting Organization:</w:t>
      </w:r>
    </w:p>
    <w:p>
      <w:pPr>
        <w:pStyle w:val="BodyText"/>
      </w:pPr>
      <w:r>
        <w:t xml:space="preserve">Name: _________________________</w:t>
      </w:r>
      <w:r>
        <w:br/>
      </w:r>
      <w:r>
        <w:t xml:space="preserve">Title: _________________________</w:t>
      </w:r>
      <w:r>
        <w:br/>
      </w:r>
      <w:r>
        <w:t xml:space="preserve">Organization: _________________________</w:t>
      </w:r>
    </w:p>
    <w:p>
      <w:pPr>
        <w:pStyle w:val="BodyText"/>
      </w:pPr>
      <w:r>
        <w:t xml:space="preserve">Signature &amp; Date</w:t>
      </w:r>
    </w:p>
    <w:p>
      <w:pPr>
        <w:pStyle w:val="BodyText"/>
      </w:pPr>
      <w:r>
        <w:t xml:space="preserve">This Quotation Estimate was prepared and issued in Alexandria, Egypt. © 2025 Office of the Professor, Alexandria University. All rights reserved.</w:t>
      </w:r>
      <w:r>
        <w:br/>
      </w:r>
      <w:r>
        <w:t xml:space="preserve">For inquiries, please contact: office.professor@alexu.edu.eg | Tel: +20-3-XXXX-XXXX | Address: 24 El-Montazah St., Alexandria 21542, Egypt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Alexandria, Egypt</dc:title>
  <dc:creator/>
  <dc:language>en</dc:language>
  <cp:keywords/>
  <dcterms:created xsi:type="dcterms:W3CDTF">2026-10-10T03:39:39Z</dcterms:created>
  <dcterms:modified xsi:type="dcterms:W3CDTF">2026-10-10T03:39:39Z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