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Academic Services — Professor Engagement in 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QTE-2025-FRA-0047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Heinrich Vogel, Professor of Applied Economics, Goethe-Universität Frankfurt am Main</w:t>
            </w:r>
          </w:p>
        </w:tc>
      </w:tr>
      <w:tr>
        <w:tc>
          <w:tcPr/>
          <w:p>
            <w:pPr>
              <w:pStyle w:val="Compact"/>
              <w:jc w:val="left"/>
            </w:pPr>
            <w:r>
              <w:t xml:space="preserve">Location of Services:</w:t>
            </w:r>
          </w:p>
        </w:tc>
        <w:tc>
          <w:tcPr/>
          <w:p>
            <w:pPr>
              <w:pStyle w:val="Compact"/>
              <w:jc w:val="left"/>
            </w:pPr>
            <w:r>
              <w:t xml:space="preserve">Frankfurt am Main, Germany (Hesse)</w:t>
            </w:r>
          </w:p>
        </w:tc>
      </w:tr>
      <w:tr>
        <w:tc>
          <w:tcPr/>
          <w:p>
            <w:pPr>
              <w:pStyle w:val="Compact"/>
              <w:jc w:val="left"/>
            </w:pPr>
            <w:r>
              <w:t xml:space="preserve">Client / Requesting Party:</w:t>
            </w:r>
          </w:p>
        </w:tc>
        <w:tc>
          <w:tcPr/>
          <w:p>
            <w:pPr>
              <w:pStyle w:val="Compact"/>
              <w:jc w:val="left"/>
            </w:pPr>
            <w:r>
              <w:t xml:space="preserve">European Financial Research Consortium e.V., Taunusanlage 12, 60325 Frankfurt am Main, Germany</w:t>
            </w:r>
          </w:p>
        </w:tc>
      </w:tr>
      <w:tr>
        <w:tc>
          <w:tcPr/>
          <w:p>
            <w:pPr>
              <w:pStyle w:val="Compact"/>
              <w:jc w:val="left"/>
            </w:pPr>
            <w:r>
              <w:t xml:space="preserve">Currency:</w:t>
            </w:r>
          </w:p>
        </w:tc>
        <w:tc>
          <w:tcPr/>
          <w:p>
            <w:pPr>
              <w:pStyle w:val="Compact"/>
              <w:jc w:val="left"/>
            </w:pPr>
            <w:r>
              <w:t xml:space="preserve">Euro (EUR)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Professor Dr. Heinrich Vogel in response to the formal request submitted by the European Financial Research Consortium e.V. for the provision of expert academic and consulting services in Germany Frankfurt. The Professor has been engaged to deliver a comprehensive programme of research supervision, keynote lectures, and advisory consultations related to monetary policy frameworks, sustainable finance, and quantitative risk modelling. All services described herein are to be performed within the metropolitan area of Frankfurt am Main, Germany, and its immediate surrounding regions, in accordance with the academic and professional standards upheld by the Goethe-Universität and the German Research Foundation (DFG).</w:t>
      </w:r>
    </w:p>
    <w:bookmarkEnd w:id="21"/>
    <w:bookmarkStart w:id="22" w:name="itemised-breakdown-of-services-and-costs"/>
    <w:p>
      <w:pPr>
        <w:pStyle w:val="Heading2"/>
      </w:pPr>
      <w:r>
        <w:t xml:space="preserve">2. Itemised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Keynote lecture: "Monetary Policy in a Post-Quantitative Easing Era" delivered at the Frankfurt School of Finance &amp; Management, Campus Bockenheim, Germany Frankfurt</w:t>
            </w:r>
          </w:p>
        </w:tc>
        <w:tc>
          <w:tcPr/>
          <w:p>
            <w:pPr>
              <w:pStyle w:val="Compact"/>
              <w:jc w:val="left"/>
            </w:pPr>
            <w:r>
              <w:t xml:space="preserve">1 session (3 hrs)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Research supervision and methodological guidance for a doctoral cohort (6 candidates) on sustainable finance indicators, conducted at the Professor's office, Goethe-Universität, Frankfurt am Main</w:t>
            </w:r>
          </w:p>
        </w:tc>
        <w:tc>
          <w:tcPr/>
          <w:p>
            <w:pPr>
              <w:pStyle w:val="Compact"/>
              <w:jc w:val="left"/>
            </w:pPr>
            <w:r>
              <w:t xml:space="preserve">12 weeks × 4 hrs/week</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Advisory consultation for the Consortium's annual white paper on European Central Bank regulatory frameworks, including two on-site meetings in Germany Frankfurt and unlimited email correspondence</w:t>
            </w:r>
          </w:p>
        </w:tc>
        <w:tc>
          <w:tcPr/>
          <w:p>
            <w:pPr>
              <w:pStyle w:val="Compact"/>
              <w:jc w:val="left"/>
            </w:pPr>
            <w:r>
              <w:t xml:space="preserve">2 meetings + 1 month</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Peer review and editorial oversight of three (3) manuscript drafts submitted for publication in the</w:t>
            </w:r>
            <w:r>
              <w:t xml:space="preserve"> </w:t>
            </w:r>
            <w:r>
              <w:rPr>
                <w:iCs/>
                <w:i/>
              </w:rPr>
              <w:t xml:space="preserve">Journal of Financial Stability</w:t>
            </w:r>
            <w:r>
              <w:t xml:space="preserve">, including detailed written feedback</w:t>
            </w:r>
          </w:p>
        </w:tc>
        <w:tc>
          <w:tcPr/>
          <w:p>
            <w:pPr>
              <w:pStyle w:val="Compact"/>
              <w:jc w:val="left"/>
            </w:pPr>
            <w:r>
              <w:t xml:space="preserve">3 manuscripts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Workshop facilitation: "Quantitative Risk Modelling for Institutional Investors" at the European Central Bank premises, Sonnemannstraße 20, Frankfurt am Main, Germany</w:t>
            </w:r>
          </w:p>
        </w:tc>
        <w:tc>
          <w:tcPr/>
          <w:p>
            <w:pPr>
              <w:pStyle w:val="Compact"/>
              <w:jc w:val="left"/>
            </w:pPr>
            <w:r>
              <w:t xml:space="preserve">1 day (8 hrs)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Travel and local transportation within the Frankfurt am Main metropolitan area (S-Bahn, U-Bahn, taxi) for all scheduled engagements</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Preparation of supplementary teaching materials, slide decks, and reference bibliographies for the keynote and workshop sessions</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950.00</w:t>
            </w:r>
          </w:p>
        </w:tc>
      </w:tr>
      <w:tr>
        <w:tc>
          <w:tcPr>
            <w:gridSpan w:val="4"/>
          </w:tcPr>
          <w:p>
            <w:pPr>
              <w:pStyle w:val="Compact"/>
              <w:jc w:val="left"/>
            </w:pPr>
            <w:r>
              <w:t xml:space="preserve">Subtotal (excl. VAT)</w:t>
            </w:r>
          </w:p>
        </w:tc>
        <w:tc>
          <w:tcPr/>
          <w:p>
            <w:pPr>
              <w:pStyle w:val="Compact"/>
              <w:jc w:val="left"/>
            </w:pPr>
            <w:r>
              <w:t xml:space="preserve">25,940.00</w:t>
            </w:r>
          </w:p>
        </w:tc>
      </w:tr>
      <w:tr>
        <w:tc>
          <w:tcPr>
            <w:gridSpan w:val="4"/>
          </w:tcPr>
          <w:p>
            <w:pPr>
              <w:pStyle w:val="Compact"/>
              <w:jc w:val="left"/>
            </w:pPr>
            <w:r>
              <w:t xml:space="preserve">VAT (Mehrwertsteuer) at 19% — Germany</w:t>
            </w:r>
          </w:p>
        </w:tc>
        <w:tc>
          <w:tcPr/>
          <w:p>
            <w:pPr>
              <w:pStyle w:val="Compact"/>
              <w:jc w:val="left"/>
            </w:pPr>
            <w:r>
              <w:t xml:space="preserve">4,928.60</w:t>
            </w:r>
          </w:p>
        </w:tc>
      </w:tr>
      <w:tr>
        <w:tc>
          <w:tcPr>
            <w:gridSpan w:val="4"/>
          </w:tcPr>
          <w:p>
            <w:pPr>
              <w:pStyle w:val="Compact"/>
              <w:jc w:val="left"/>
            </w:pPr>
            <w:r>
              <w:t xml:space="preserve">TOTAL AMOUNT DUE (incl. VAT)</w:t>
            </w:r>
          </w:p>
        </w:tc>
        <w:tc>
          <w:tcPr/>
          <w:p>
            <w:pPr>
              <w:pStyle w:val="Compact"/>
              <w:jc w:val="left"/>
            </w:pPr>
            <w:r>
              <w:t xml:space="preserve">30,868.60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Should the Client wish to proceed after the expiry date, the Professor reserves the right to revise the rates and reissue a new Quotation Estimate reflecting current market conditions in Germany Frankfurt.</w:t>
      </w:r>
    </w:p>
    <w:p>
      <w:pPr>
        <w:numPr>
          <w:ilvl w:val="0"/>
          <w:numId w:val="1001"/>
        </w:numPr>
        <w:pStyle w:val="Compact"/>
      </w:pPr>
      <w:r>
        <w:rPr>
          <w:bCs/>
          <w:b/>
        </w:rPr>
        <w:t xml:space="preserve">Payment Terms:</w:t>
      </w:r>
      <w:r>
        <w:t xml:space="preserve"> </w:t>
      </w:r>
      <w:r>
        <w:t xml:space="preserve">A deposit of forty percent (40%) of the total amount, i.e., EUR 12,347.44, is due within fourteen (14) days of acceptance of this Quotation Estimate. The remaining sixty percent (60%) shall be invoiced upon completion of all services and is payable within thirty (30) days of the final invoice date. Payments shall be made via bank transfer to the account of the Goethe-Universität Frankfurt am Main, IBAN: DE89 3704 0044 0532 0130 00, BIC: COBADEFFXXX.</w:t>
      </w:r>
    </w:p>
    <w:p>
      <w:pPr>
        <w:numPr>
          <w:ilvl w:val="0"/>
          <w:numId w:val="1001"/>
        </w:numPr>
        <w:pStyle w:val="Compact"/>
      </w:pPr>
      <w:r>
        <w:rPr>
          <w:bCs/>
          <w:b/>
        </w:rPr>
        <w:t xml:space="preserve">Scope Changes:</w:t>
      </w:r>
      <w:r>
        <w:t xml:space="preserve"> </w:t>
      </w:r>
      <w:r>
        <w:t xml:space="preserve">Any modification to the scope of services outlined in Section 2 must be agreed upon in writing by both parties. Additional hours or sessions beyond the quoted quantities will be billed at the Professor's standard hourly rate of EUR 220.00 plus applicable German VAT.</w:t>
      </w:r>
    </w:p>
    <w:p>
      <w:pPr>
        <w:numPr>
          <w:ilvl w:val="0"/>
          <w:numId w:val="1001"/>
        </w:numPr>
        <w:pStyle w:val="Compact"/>
      </w:pPr>
      <w:r>
        <w:rPr>
          <w:bCs/>
          <w:b/>
        </w:rPr>
        <w:t xml:space="preserve">Intellectual Property:</w:t>
      </w:r>
      <w:r>
        <w:t xml:space="preserve"> </w:t>
      </w:r>
      <w:r>
        <w:t xml:space="preserve">All lecture materials, research outputs, and written analyses produced by the Professor under this engagement shall remain the intellectual property of the Professor unless otherwise stipulated in a separate licensing agreement. The Client receives a non-exclusive, non-transferable licence to use the materials for internal research purposes within Germany Frankfurt and the European Union.</w:t>
      </w:r>
    </w:p>
    <w:p>
      <w:pPr>
        <w:numPr>
          <w:ilvl w:val="0"/>
          <w:numId w:val="1001"/>
        </w:numPr>
        <w:pStyle w:val="Compact"/>
      </w:pPr>
      <w:r>
        <w:rPr>
          <w:bCs/>
          <w:b/>
        </w:rPr>
        <w:t xml:space="preserve">Confidentiality:</w:t>
      </w:r>
      <w:r>
        <w:t xml:space="preserve"> </w:t>
      </w:r>
      <w:r>
        <w:t xml:space="preserve">The Professor undertakes to treat all proprietary data, unpublished research, and internal documents of the Client as strictly confidential in accordance with the German Federal Data Protection Act (Bundesdatenschutzgesetz, BDSG) and the EU General Data Protection Regulation (GDPR).</w:t>
      </w:r>
    </w:p>
    <w:p>
      <w:pPr>
        <w:numPr>
          <w:ilvl w:val="0"/>
          <w:numId w:val="1001"/>
        </w:numPr>
        <w:pStyle w:val="Compact"/>
      </w:pPr>
      <w:r>
        <w:rPr>
          <w:bCs/>
          <w:b/>
        </w:rPr>
        <w:t xml:space="preserve">Governing Law and Jurisdiction:</w:t>
      </w:r>
      <w:r>
        <w:t xml:space="preserve"> </w:t>
      </w:r>
      <w:r>
        <w:t xml:space="preserve">This Quotation Estimate and any resulting contractual relationship shall be governed by the laws of the Federal Republic of Germany. Any disputes arising herefrom shall be subject to the exclusive jurisdiction of the competent courts in Frankfurt am Main, Hesse,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of academic institutions in Germany Frankfurt, or strikes affecting public transport in the Frankfurt metropolitan region.</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the Client and countersigned by the Professor or his authorised representative. Acceptance may be communicated via email to prof.vogel@em.uni-frankfurt.de or by signed letter to the address listed above.</w:t>
      </w:r>
    </w:p>
    <w:bookmarkEnd w:id="23"/>
    <w:bookmarkStart w:id="24" w:name="acceptance-and-signatures"/>
    <w:p>
      <w:pPr>
        <w:pStyle w:val="Heading2"/>
      </w:pPr>
      <w:r>
        <w:t xml:space="preserve">4. Acceptance and Signatures</w:t>
      </w:r>
    </w:p>
    <w:p>
      <w:pPr>
        <w:pStyle w:val="FirstParagraph"/>
      </w:pPr>
      <w:r>
        <w:rPr>
          <w:bCs/>
          <w:b/>
        </w:rPr>
        <w:t xml:space="preserve">For the Professor (Service Provider):</w:t>
      </w:r>
    </w:p>
    <w:p>
      <w:pPr>
        <w:pStyle w:val="BodyText"/>
      </w:pPr>
      <w:r>
        <w:t xml:space="preserve">Dr. Heinrich Vogel</w:t>
      </w:r>
      <w:r>
        <w:br/>
      </w:r>
      <w:r>
        <w:t xml:space="preserve">Professor of Applied Economics</w:t>
      </w:r>
      <w:r>
        <w:br/>
      </w:r>
      <w:r>
        <w:t xml:space="preserve">Goethe-Universität Frankfurt am Main</w:t>
      </w:r>
      <w:r>
        <w:br/>
      </w:r>
      <w:r>
        <w:t xml:space="preserve">Theodor-W.-Adorno-Platz 5</w:t>
      </w:r>
      <w:r>
        <w:br/>
      </w:r>
      <w:r>
        <w:t xml:space="preserve">60323 Frankfurt am Main, Germany</w:t>
      </w:r>
    </w:p>
    <w:p>
      <w:pPr>
        <w:pStyle w:val="BodyText"/>
      </w:pPr>
      <w:r>
        <w:t xml:space="preserve">Signature &amp; Date</w:t>
      </w:r>
    </w:p>
    <w:p>
      <w:pPr>
        <w:pStyle w:val="BodyText"/>
      </w:pPr>
      <w:r>
        <w:rPr>
          <w:bCs/>
          <w:b/>
        </w:rPr>
        <w:t xml:space="preserve">For the Client (Requesting Party):</w:t>
      </w:r>
    </w:p>
    <w:p>
      <w:pPr>
        <w:pStyle w:val="BodyText"/>
      </w:pPr>
      <w:r>
        <w:t xml:space="preserve">European Financial Research Consortium e.V.</w:t>
      </w:r>
      <w:r>
        <w:br/>
      </w:r>
      <w:r>
        <w:t xml:space="preserve">Authorised Representative</w:t>
      </w:r>
      <w:r>
        <w:br/>
      </w:r>
      <w:r>
        <w:t xml:space="preserve">Taunusanlage 12</w:t>
      </w:r>
      <w:r>
        <w:br/>
      </w:r>
      <w:r>
        <w:t xml:space="preserve">60325 Frankfurt am Main, Germany</w:t>
      </w:r>
    </w:p>
    <w:p>
      <w:pPr>
        <w:pStyle w:val="BodyText"/>
      </w:pPr>
      <w:r>
        <w:t xml:space="preserve">Signature &amp; Date</w:t>
      </w:r>
    </w:p>
    <w:p>
      <w:pPr>
        <w:pStyle w:val="BodyText"/>
      </w:pPr>
      <w:r>
        <w:t xml:space="preserve">Quotation Estimate No. QTE-2025-FRA-0047 — Issued for Professor Dr. H. Vogel — Germany Frankfurt — Page 1 of 1</w:t>
      </w:r>
    </w:p>
    <w:p>
      <w:pPr>
        <w:pStyle w:val="BodyText"/>
      </w:pPr>
      <w:r>
        <w:t xml:space="preserve">This document is generated electronically and is valid without a physical seal. For queries, contact the Professor's office at +49 69 798-22220 or via the Goethe-Universität central administration.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Germany Frankfurt</dc:title>
  <dc:creator/>
  <dc:language>en</dc:language>
  <cp:keywords/>
  <dcterms:created xsi:type="dcterms:W3CDTF">2026-10-10T01:54:52Z</dcterms:created>
  <dcterms:modified xsi:type="dcterms:W3CDTF">2026-10-10T01:54:52Z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