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Academic &amp; Research Services | India New Delhi</w:t>
      </w:r>
    </w:p>
    <w:p>
      <w:pPr>
        <w:pStyle w:val="BodyText"/>
      </w:pPr>
      <w:r>
        <w:t xml:space="preserve">Document Reference: QTE/NDL/2025/0047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Quotation Validity:</w:t>
            </w:r>
          </w:p>
        </w:tc>
        <w:tc>
          <w:tcPr/>
          <w:p>
            <w:pPr>
              <w:pStyle w:val="Compact"/>
              <w:jc w:val="left"/>
            </w:pPr>
            <w:r>
              <w:t xml:space="preserve">30 June 2025 (30 days)</w:t>
            </w:r>
          </w:p>
        </w:tc>
      </w:tr>
      <w:tr>
        <w:tc>
          <w:tcPr/>
          <w:p>
            <w:pPr>
              <w:pStyle w:val="Compact"/>
              <w:jc w:val="left"/>
            </w:pPr>
            <w:r>
              <w:t xml:space="preserve">Prepared By:</w:t>
            </w:r>
          </w:p>
        </w:tc>
        <w:tc>
          <w:tcPr/>
          <w:p>
            <w:pPr>
              <w:pStyle w:val="Compact"/>
              <w:jc w:val="left"/>
            </w:pPr>
            <w:r>
              <w:t xml:space="preserve">Dr. Arvind Sharma, Professor of Applied Sciences</w:t>
            </w:r>
          </w:p>
        </w:tc>
        <w:tc>
          <w:tcPr/>
          <w:p>
            <w:pPr>
              <w:pStyle w:val="Compact"/>
              <w:jc w:val="left"/>
            </w:pPr>
            <w:r>
              <w:t xml:space="preserve">Registration No.:</w:t>
            </w:r>
          </w:p>
        </w:tc>
        <w:tc>
          <w:tcPr/>
          <w:p>
            <w:pPr>
              <w:pStyle w:val="Compact"/>
              <w:jc w:val="left"/>
            </w:pPr>
            <w:r>
              <w:t xml:space="preserve">UGC-NDL-2019-4472</w:t>
            </w:r>
          </w:p>
        </w:tc>
      </w:tr>
      <w:tr>
        <w:tc>
          <w:tcPr/>
          <w:p>
            <w:pPr>
              <w:pStyle w:val="Compact"/>
              <w:jc w:val="left"/>
            </w:pPr>
            <w:r>
              <w:t xml:space="preserve">Address:</w:t>
            </w:r>
          </w:p>
        </w:tc>
        <w:tc>
          <w:tcPr/>
          <w:p>
            <w:pPr>
              <w:pStyle w:val="Compact"/>
              <w:jc w:val="left"/>
            </w:pPr>
            <w:r>
              <w:t xml:space="preserve">Office 214, Academic Block C, Central University Campus, Sector 14, Dwarka, New Delhi – 110077, India</w:t>
            </w:r>
          </w:p>
        </w:tc>
        <w:tc>
          <w:tcPr/>
          <w:p>
            <w:pPr>
              <w:pStyle w:val="Compact"/>
              <w:jc w:val="left"/>
            </w:pPr>
            <w:r>
              <w:t xml:space="preserve">GSTIN:</w:t>
            </w:r>
          </w:p>
        </w:tc>
        <w:tc>
          <w:tcPr/>
          <w:p>
            <w:pPr>
              <w:pStyle w:val="Compact"/>
              <w:jc w:val="left"/>
            </w:pPr>
            <w:r>
              <w:t xml:space="preserve">07AAAPD1234F1Z5</w:t>
            </w:r>
          </w:p>
        </w:tc>
      </w:tr>
      <w:tr>
        <w:tc>
          <w:tcPr/>
          <w:p>
            <w:pPr>
              <w:pStyle w:val="Compact"/>
              <w:jc w:val="left"/>
            </w:pPr>
            <w:r>
              <w:t xml:space="preserve">Contact:</w:t>
            </w:r>
          </w:p>
        </w:tc>
        <w:tc>
          <w:tcPr/>
          <w:p>
            <w:pPr>
              <w:pStyle w:val="Compact"/>
              <w:jc w:val="left"/>
            </w:pPr>
            <w:r>
              <w:t xml:space="preserve">+91-98110-XXXXX | prof.sharma@centraluniv-nd.ac.in</w:t>
            </w:r>
          </w:p>
        </w:tc>
        <w:tc>
          <w:tcPr/>
          <w:p>
            <w:pPr>
              <w:pStyle w:val="Compact"/>
              <w:jc w:val="left"/>
            </w:pPr>
            <w:r>
              <w:t xml:space="preserve">Payment Terms:</w:t>
            </w:r>
          </w:p>
        </w:tc>
        <w:tc>
          <w:tcPr/>
          <w:p>
            <w:pPr>
              <w:pStyle w:val="Compact"/>
              <w:jc w:val="left"/>
            </w:pPr>
            <w:r>
              <w:t xml:space="preserve">50% Advance / 50% on Completion</w:t>
            </w:r>
          </w:p>
        </w:tc>
      </w:tr>
    </w:tbl>
    <w:p/>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Quoted To:</w:t>
            </w:r>
          </w:p>
        </w:tc>
        <w:tc>
          <w:tcPr>
            <w:gridSpan w:val="3"/>
          </w:tcPr>
          <w:p>
            <w:pPr>
              <w:pStyle w:val="Compact"/>
              <w:jc w:val="left"/>
            </w:pPr>
            <w:r>
              <w:rPr>
                <w:bCs/>
                <w:b/>
              </w:rPr>
              <w:t xml:space="preserve">Mr. Rajesh Malhotra</w:t>
            </w:r>
            <w:r>
              <w:br/>
            </w:r>
            <w:r>
              <w:t xml:space="preserve">Director, Malhotra Research &amp; Development Pvt. Ltd.</w:t>
            </w:r>
            <w:r>
              <w:br/>
            </w:r>
            <w:r>
              <w:t xml:space="preserve">42, Connaught Place, New Delhi – 110001, India</w:t>
            </w:r>
            <w:r>
              <w:br/>
            </w:r>
            <w:r>
              <w:t xml:space="preserve">Email: rajesh.malhotra@mrdrp.in | Phone: +91-98765-XXXXX</w:t>
            </w:r>
          </w:p>
        </w:tc>
      </w:tr>
    </w:tbl>
    <w:bookmarkStart w:id="21" w:name="scope-of-services-professor-engagement"/>
    <w:p>
      <w:pPr>
        <w:pStyle w:val="Heading2"/>
      </w:pPr>
      <w:r>
        <w:t xml:space="preserve">1. Scope of Services – Professor Engagement</w:t>
      </w:r>
    </w:p>
    <w:p>
      <w:pPr>
        <w:pStyle w:val="FirstParagraph"/>
      </w:pPr>
      <w:r>
        <w:t xml:space="preserve">This</w:t>
      </w:r>
      <w:r>
        <w:t xml:space="preserve"> </w:t>
      </w:r>
      <w:r>
        <w:t xml:space="preserve">Quotation Estimate</w:t>
      </w:r>
      <w:r>
        <w:t xml:space="preserve"> </w:t>
      </w:r>
      <w:r>
        <w:t xml:space="preserve">is issued by</w:t>
      </w:r>
      <w:r>
        <w:t xml:space="preserve"> </w:t>
      </w:r>
      <w:r>
        <w:t xml:space="preserve">Professor</w:t>
      </w:r>
      <w:r>
        <w:t xml:space="preserve"> </w:t>
      </w:r>
      <w:r>
        <w:t xml:space="preserve">Dr. Arvind Sharma in connection with the provision of specialized academic consulting, research supervision, and institutional advisory services to be rendered in</w:t>
      </w:r>
      <w:r>
        <w:t xml:space="preserve"> </w:t>
      </w:r>
      <w:r>
        <w:t xml:space="preserve">India New Delhi</w:t>
      </w:r>
      <w:r>
        <w:t xml:space="preserve">. The Professor has over twenty-two years of experience in applied sciences, technology policy, and higher education administration, and has been engaged by numerous government bodies, private enterprises, and international organizations across the National Capital Territory of Delhi.</w:t>
      </w:r>
    </w:p>
    <w:p>
      <w:pPr>
        <w:pStyle w:val="BodyText"/>
      </w:pPr>
      <w:r>
        <w:t xml:space="preserve">The services outlined below are tailored to the specific requirements of the client organization and are to be executed primarily at the client's premises in New Delhi, with supplementary academic work conducted at the Professor's institutional office in Dwarka, New Delhi. All deliverables shall conform to the standards prescribed by the University Grants Commission (UGC) and the All India Council for Technical Education (AICTE) where applicable.</w:t>
      </w:r>
    </w:p>
    <w:bookmarkEnd w:id="21"/>
    <w:bookmarkStart w:id="22" w:name="itemized-quotation-estimate"/>
    <w:p>
      <w:pPr>
        <w:pStyle w:val="Heading2"/>
      </w:pPr>
      <w:r>
        <w:t xml:space="preserve">2.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Academic Research Supervision – Guiding two (2) PhD research scholars in the field of Advanced Materials Science, including weekly progress reviews, thesis chapter evaluation, and final viva-voce preparation. Conducted at the Professor's office, New Delhi.</w:t>
            </w:r>
          </w:p>
        </w:tc>
        <w:tc>
          <w:tcPr/>
          <w:p>
            <w:pPr>
              <w:pStyle w:val="Compact"/>
              <w:jc w:val="left"/>
            </w:pPr>
            <w:r>
              <w:t xml:space="preserve">12 months</w:t>
            </w:r>
          </w:p>
        </w:tc>
        <w:tc>
          <w:tcPr/>
          <w:p>
            <w:pPr>
              <w:pStyle w:val="Compact"/>
              <w:jc w:val="left"/>
            </w:pPr>
            <w:r>
              <w:t xml:space="preserve">₹ 85,000 / month</w:t>
            </w:r>
          </w:p>
        </w:tc>
        <w:tc>
          <w:tcPr/>
          <w:p>
            <w:pPr>
              <w:pStyle w:val="Compact"/>
              <w:jc w:val="left"/>
            </w:pPr>
            <w:r>
              <w:t xml:space="preserve">₹ 10,20,000</w:t>
            </w:r>
          </w:p>
        </w:tc>
      </w:tr>
      <w:tr>
        <w:tc>
          <w:tcPr/>
          <w:p>
            <w:pPr>
              <w:pStyle w:val="Compact"/>
              <w:jc w:val="left"/>
            </w:pPr>
            <w:r>
              <w:t xml:space="preserve">2</w:t>
            </w:r>
          </w:p>
        </w:tc>
        <w:tc>
          <w:tcPr/>
          <w:p>
            <w:pPr>
              <w:pStyle w:val="Compact"/>
              <w:jc w:val="left"/>
            </w:pPr>
            <w:r>
              <w:t xml:space="preserve">Technical Advisory &amp; Feasibility Study – Preparation of a comprehensive 80-page feasibility report on the proposed R&amp;D centre in Gurugram (Delhi NCR), including literature review, methodology design, risk assessment, and budget estimation.</w:t>
            </w:r>
          </w:p>
        </w:tc>
        <w:tc>
          <w:tcPr/>
          <w:p>
            <w:pPr>
              <w:pStyle w:val="Compact"/>
              <w:jc w:val="left"/>
            </w:pPr>
            <w:r>
              <w:t xml:space="preserve">One-time</w:t>
            </w:r>
          </w:p>
        </w:tc>
        <w:tc>
          <w:tcPr/>
          <w:p>
            <w:pPr>
              <w:pStyle w:val="Compact"/>
              <w:jc w:val="left"/>
            </w:pPr>
            <w:r>
              <w:t xml:space="preserve">₹ 3,50,000</w:t>
            </w:r>
          </w:p>
        </w:tc>
        <w:tc>
          <w:tcPr/>
          <w:p>
            <w:pPr>
              <w:pStyle w:val="Compact"/>
              <w:jc w:val="left"/>
            </w:pPr>
            <w:r>
              <w:t xml:space="preserve">₹ 3,50,000</w:t>
            </w:r>
          </w:p>
        </w:tc>
      </w:tr>
      <w:tr>
        <w:tc>
          <w:tcPr/>
          <w:p>
            <w:pPr>
              <w:pStyle w:val="Compact"/>
              <w:jc w:val="left"/>
            </w:pPr>
            <w:r>
              <w:t xml:space="preserve">3</w:t>
            </w:r>
          </w:p>
        </w:tc>
        <w:tc>
          <w:tcPr/>
          <w:p>
            <w:pPr>
              <w:pStyle w:val="Compact"/>
              <w:jc w:val="left"/>
            </w:pPr>
            <w:r>
              <w:t xml:space="preserve">Guest Lecture Series – Delivery of ten (10) specialized lectures (3 hours each) on "Emerging Technologies in Sustainable Engineering" at the client's corporate training centre, Connaught Place, New Delhi.</w:t>
            </w:r>
          </w:p>
        </w:tc>
        <w:tc>
          <w:tcPr/>
          <w:p>
            <w:pPr>
              <w:pStyle w:val="Compact"/>
              <w:jc w:val="left"/>
            </w:pPr>
            <w:r>
              <w:t xml:space="preserve">10 sessions</w:t>
            </w:r>
          </w:p>
        </w:tc>
        <w:tc>
          <w:tcPr/>
          <w:p>
            <w:pPr>
              <w:pStyle w:val="Compact"/>
              <w:jc w:val="left"/>
            </w:pPr>
            <w:r>
              <w:t xml:space="preserve">₹ 25,000 / session</w:t>
            </w:r>
          </w:p>
        </w:tc>
        <w:tc>
          <w:tcPr/>
          <w:p>
            <w:pPr>
              <w:pStyle w:val="Compact"/>
              <w:jc w:val="left"/>
            </w:pPr>
            <w:r>
              <w:t xml:space="preserve">₹ 2,50,000</w:t>
            </w:r>
          </w:p>
        </w:tc>
      </w:tr>
      <w:tr>
        <w:tc>
          <w:tcPr/>
          <w:p>
            <w:pPr>
              <w:pStyle w:val="Compact"/>
              <w:jc w:val="left"/>
            </w:pPr>
            <w:r>
              <w:t xml:space="preserve">4</w:t>
            </w:r>
          </w:p>
        </w:tc>
        <w:tc>
          <w:tcPr/>
          <w:p>
            <w:pPr>
              <w:pStyle w:val="Compact"/>
              <w:jc w:val="left"/>
            </w:pPr>
            <w:r>
              <w:t xml:space="preserve">Manuscript Review &amp; Peer Evaluation – Review of four (4) journal manuscripts submitted to SCI/Scopus-indexed journals, providing detailed written feedback and revision recommendations.</w:t>
            </w:r>
          </w:p>
        </w:tc>
        <w:tc>
          <w:tcPr/>
          <w:p>
            <w:pPr>
              <w:pStyle w:val="Compact"/>
              <w:jc w:val="left"/>
            </w:pPr>
            <w:r>
              <w:t xml:space="preserve">4 manuscripts</w:t>
            </w:r>
          </w:p>
        </w:tc>
        <w:tc>
          <w:tcPr/>
          <w:p>
            <w:pPr>
              <w:pStyle w:val="Compact"/>
              <w:jc w:val="left"/>
            </w:pPr>
            <w:r>
              <w:t xml:space="preserve">₹ 40,000 / manuscript</w:t>
            </w:r>
          </w:p>
        </w:tc>
        <w:tc>
          <w:tcPr/>
          <w:p>
            <w:pPr>
              <w:pStyle w:val="Compact"/>
              <w:jc w:val="left"/>
            </w:pPr>
            <w:r>
              <w:t xml:space="preserve">₹ 1,60,000</w:t>
            </w:r>
          </w:p>
        </w:tc>
      </w:tr>
      <w:tr>
        <w:tc>
          <w:tcPr/>
          <w:p>
            <w:pPr>
              <w:pStyle w:val="Compact"/>
              <w:jc w:val="left"/>
            </w:pPr>
            <w:r>
              <w:t xml:space="preserve">5</w:t>
            </w:r>
          </w:p>
        </w:tc>
        <w:tc>
          <w:tcPr/>
          <w:p>
            <w:pPr>
              <w:pStyle w:val="Compact"/>
              <w:jc w:val="left"/>
            </w:pPr>
            <w:r>
              <w:t xml:space="preserve">Curriculum Development &amp; Faculty Training – Designing a 12-week postgraduate curriculum module on "Data-Driven Decision Making in Industry" and conducting a two-day faculty development workshop for 25 teaching staff in New Delhi.</w:t>
            </w:r>
          </w:p>
        </w:tc>
        <w:tc>
          <w:tcPr/>
          <w:p>
            <w:pPr>
              <w:pStyle w:val="Compact"/>
              <w:jc w:val="left"/>
            </w:pPr>
            <w:r>
              <w:t xml:space="preserve">One-time</w:t>
            </w:r>
          </w:p>
        </w:tc>
        <w:tc>
          <w:tcPr/>
          <w:p>
            <w:pPr>
              <w:pStyle w:val="Compact"/>
              <w:jc w:val="left"/>
            </w:pPr>
            <w:r>
              <w:t xml:space="preserve">₹ 2,00,000</w:t>
            </w:r>
          </w:p>
        </w:tc>
        <w:tc>
          <w:tcPr/>
          <w:p>
            <w:pPr>
              <w:pStyle w:val="Compact"/>
              <w:jc w:val="left"/>
            </w:pPr>
            <w:r>
              <w:t xml:space="preserve">₹ 2,00,000</w:t>
            </w:r>
          </w:p>
        </w:tc>
      </w:tr>
      <w:tr>
        <w:tc>
          <w:tcPr/>
          <w:p>
            <w:pPr>
              <w:pStyle w:val="Compact"/>
              <w:jc w:val="left"/>
            </w:pPr>
            <w:r>
              <w:t xml:space="preserve">6</w:t>
            </w:r>
          </w:p>
        </w:tc>
        <w:tc>
          <w:tcPr/>
          <w:p>
            <w:pPr>
              <w:pStyle w:val="Compact"/>
              <w:jc w:val="left"/>
            </w:pPr>
            <w:r>
              <w:t xml:space="preserve">Travel &amp; Local Transportation – Reimbursement of travel expenses for the Professor's movement between Dwarka office and client sites within New Delhi and NCR (Gurugram, Noida, Gurgaon) for on-site meetings and inspections.</w:t>
            </w:r>
          </w:p>
        </w:tc>
        <w:tc>
          <w:tcPr/>
          <w:p>
            <w:pPr>
              <w:pStyle w:val="Compact"/>
              <w:jc w:val="left"/>
            </w:pPr>
            <w:r>
              <w:t xml:space="preserve">Estimated 20 trips</w:t>
            </w:r>
          </w:p>
        </w:tc>
        <w:tc>
          <w:tcPr/>
          <w:p>
            <w:pPr>
              <w:pStyle w:val="Compact"/>
              <w:jc w:val="left"/>
            </w:pPr>
            <w:r>
              <w:t xml:space="preserve">₹ 3,000 / trip</w:t>
            </w:r>
          </w:p>
        </w:tc>
        <w:tc>
          <w:tcPr/>
          <w:p>
            <w:pPr>
              <w:pStyle w:val="Compact"/>
              <w:jc w:val="left"/>
            </w:pPr>
            <w:r>
              <w:t xml:space="preserve">₹ 60,000</w:t>
            </w:r>
          </w:p>
        </w:tc>
      </w:tr>
      <w:tr>
        <w:tc>
          <w:tcPr/>
          <w:p>
            <w:pPr>
              <w:pStyle w:val="Compact"/>
              <w:jc w:val="left"/>
            </w:pPr>
            <w:r>
              <w:t xml:space="preserve">7</w:t>
            </w:r>
          </w:p>
        </w:tc>
        <w:tc>
          <w:tcPr/>
          <w:p>
            <w:pPr>
              <w:pStyle w:val="Compact"/>
              <w:jc w:val="left"/>
            </w:pPr>
            <w:r>
              <w:t xml:space="preserve">Administrative &amp; Coordination Support – Allocation of a dedicated research assistant (M.Phil level) to support the Professor during the engagement period, including scheduling, documentation, and correspondence.</w:t>
            </w:r>
          </w:p>
        </w:tc>
        <w:tc>
          <w:tcPr/>
          <w:p>
            <w:pPr>
              <w:pStyle w:val="Compact"/>
              <w:jc w:val="left"/>
            </w:pPr>
            <w:r>
              <w:t xml:space="preserve">12 months</w:t>
            </w:r>
          </w:p>
        </w:tc>
        <w:tc>
          <w:tcPr/>
          <w:p>
            <w:pPr>
              <w:pStyle w:val="Compact"/>
              <w:jc w:val="left"/>
            </w:pPr>
            <w:r>
              <w:t xml:space="preserve">₹ 30,000 / month</w:t>
            </w:r>
          </w:p>
        </w:tc>
        <w:tc>
          <w:tcPr/>
          <w:p>
            <w:pPr>
              <w:pStyle w:val="Compact"/>
              <w:jc w:val="left"/>
            </w:pPr>
            <w:r>
              <w:t xml:space="preserve">₹ 3,60,000</w:t>
            </w:r>
          </w:p>
        </w:tc>
      </w:tr>
      <w:tr>
        <w:tc>
          <w:tcPr>
            <w:gridSpan w:val="4"/>
          </w:tcPr>
          <w:p>
            <w:pPr>
              <w:pStyle w:val="Compact"/>
              <w:jc w:val="right"/>
            </w:pPr>
            <w:r>
              <w:t xml:space="preserve">Sub-Total (INR):</w:t>
            </w:r>
          </w:p>
        </w:tc>
        <w:tc>
          <w:tcPr/>
          <w:p>
            <w:pPr>
              <w:pStyle w:val="Compact"/>
              <w:jc w:val="left"/>
            </w:pPr>
            <w:r>
              <w:t xml:space="preserve">₹ 24,00,000</w:t>
            </w:r>
          </w:p>
        </w:tc>
      </w:tr>
      <w:tr>
        <w:tc>
          <w:tcPr>
            <w:gridSpan w:val="4"/>
          </w:tcPr>
          <w:p>
            <w:pPr>
              <w:pStyle w:val="Compact"/>
              <w:jc w:val="right"/>
            </w:pPr>
            <w:r>
              <w:t xml:space="preserve">GST @ 18% (as applicable under Indian tax law):</w:t>
            </w:r>
          </w:p>
        </w:tc>
        <w:tc>
          <w:tcPr/>
          <w:p>
            <w:pPr>
              <w:pStyle w:val="Compact"/>
              <w:jc w:val="left"/>
            </w:pPr>
            <w:r>
              <w:t xml:space="preserve">₹ 4,32,000</w:t>
            </w:r>
          </w:p>
        </w:tc>
      </w:tr>
      <w:tr>
        <w:tc>
          <w:tcPr>
            <w:gridSpan w:val="4"/>
          </w:tcPr>
          <w:p>
            <w:pPr>
              <w:pStyle w:val="Compact"/>
              <w:jc w:val="right"/>
            </w:pPr>
            <w:r>
              <w:t xml:space="preserve">Grand Total (INR):</w:t>
            </w:r>
          </w:p>
        </w:tc>
        <w:tc>
          <w:tcPr/>
          <w:p>
            <w:pPr>
              <w:pStyle w:val="Compact"/>
              <w:jc w:val="left"/>
            </w:pPr>
            <w:r>
              <w:t xml:space="preserve">₹ 28,32,000</w:t>
            </w:r>
          </w:p>
        </w:tc>
      </w:tr>
    </w:tbl>
    <w:p>
      <w:pPr>
        <w:pStyle w:val="BodyText"/>
      </w:pPr>
      <w:r>
        <w:t xml:space="preserve">* All amounts are quoted in Indian Rupees (INR). GST is applicable as per the Central Goods and Services Tax Act, 2017, and the applicable rate for professional/academic services in India New Delhi. The Professor is registered under GST with the jurisdictional authority in New Delhi.</w:t>
      </w:r>
    </w:p>
    <w:bookmarkEnd w:id="22"/>
    <w:bookmarkStart w:id="23" w:name="X98ae5012a9dec956494a9573cf19ec0225e32ea"/>
    <w:p>
      <w:pPr>
        <w:pStyle w:val="Heading2"/>
      </w:pPr>
      <w:r>
        <w:t xml:space="preserve">3. Terms &amp; Conditions of the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and availability of the</w:t>
      </w:r>
      <w:r>
        <w:t xml:space="preserve"> </w:t>
      </w:r>
      <w:r>
        <w:t xml:space="preserve">Professor</w:t>
      </w:r>
      <w:r>
        <w:t xml:space="preserve"> </w:t>
      </w:r>
      <w:r>
        <w:t xml:space="preserve">are subject to revision without prior notice.</w:t>
      </w:r>
    </w:p>
    <w:p>
      <w:pPr>
        <w:numPr>
          <w:ilvl w:val="0"/>
          <w:numId w:val="1001"/>
        </w:numPr>
        <w:pStyle w:val="Compact"/>
      </w:pPr>
      <w:r>
        <w:t xml:space="preserve">Payment shall be made via bank transfer to the Professor's designated institutional account. A 50% advance payment is required to initiate the engagement, and the remaining 50% shall be payable upon satisfactory completion and delivery of all agreed deliverables.</w:t>
      </w:r>
    </w:p>
    <w:p>
      <w:pPr>
        <w:numPr>
          <w:ilvl w:val="0"/>
          <w:numId w:val="1001"/>
        </w:numPr>
        <w:pStyle w:val="Compact"/>
      </w:pPr>
      <w:r>
        <w:t xml:space="preserve">All intellectual property rights in research outputs, reports, and curriculum materials developed under this engagement shall vest with the client, subject to the Professor's right to use such materials for academic publication with proper attribution.</w:t>
      </w:r>
    </w:p>
    <w:p>
      <w:pPr>
        <w:numPr>
          <w:ilvl w:val="0"/>
          <w:numId w:val="1001"/>
        </w:numPr>
        <w:pStyle w:val="Compact"/>
      </w:pPr>
      <w:r>
        <w:t xml:space="preserve">The</w:t>
      </w:r>
      <w:r>
        <w:t xml:space="preserve"> </w:t>
      </w:r>
      <w:r>
        <w:t xml:space="preserve">Professor</w:t>
      </w:r>
      <w:r>
        <w:t xml:space="preserve"> </w:t>
      </w:r>
      <w:r>
        <w:t xml:space="preserve">reserves the right to reschedule sessions or deliverables with a minimum of 72 hours' written notice in the event of institutional obligations, medical emergencies, or force majeure events.</w:t>
      </w:r>
    </w:p>
    <w:p>
      <w:pPr>
        <w:numPr>
          <w:ilvl w:val="0"/>
          <w:numId w:val="1001"/>
        </w:numPr>
        <w:pStyle w:val="Compact"/>
      </w:pPr>
      <w:r>
        <w:t xml:space="preserve">All services shall be performed in compliance with the laws of the Republic of India, including but not limited to the Indian Contract Act, 1872, and applicable regulations of the University Grants Commission (UGC) and the Ministry of Education, Government of India, New Delhi.</w:t>
      </w:r>
    </w:p>
    <w:p>
      <w:pPr>
        <w:numPr>
          <w:ilvl w:val="0"/>
          <w:numId w:val="1001"/>
        </w:numPr>
        <w:pStyle w:val="Compact"/>
      </w:pPr>
      <w:r>
        <w:t xml:space="preserve">Any dispute arising out of or in connection with this Quotation Estimate shall be subject to the exclusive jurisdiction of the competent courts in New Delhi, India.</w:t>
      </w:r>
    </w:p>
    <w:p>
      <w:pPr>
        <w:numPr>
          <w:ilvl w:val="0"/>
          <w:numId w:val="1001"/>
        </w:numPr>
        <w:pStyle w:val="Compact"/>
      </w:pPr>
      <w:r>
        <w:t xml:space="preserve">The client agrees to provide all necessary access, data, and logistical support required for the Professor to perform the services at the client's premises in New Delhi or NCR locations.</w:t>
      </w:r>
    </w:p>
    <w:p>
      <w:pPr>
        <w:numPr>
          <w:ilvl w:val="0"/>
          <w:numId w:val="1001"/>
        </w:numPr>
        <w:pStyle w:val="Compact"/>
      </w:pPr>
      <w:r>
        <w:t xml:space="preserve">This Quotation Estimate does not constitute a binding contract until a formal Service Agreement is executed by both parties in writing.</w:t>
      </w:r>
    </w:p>
    <w:p>
      <w:pPr>
        <w:numPr>
          <w:ilvl w:val="0"/>
          <w:numId w:val="1001"/>
        </w:numPr>
        <w:pStyle w:val="Compact"/>
      </w:pPr>
      <w:r>
        <w:t xml:space="preserve">Taxes, duties, and statutory levies as applicable under Indian law are included as specified. Any change in tax rates by the Government of India during the engagement period shall be adjusted proportionally.</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financial provisions outlined herein for the engagement of the</w:t>
      </w:r>
      <w:r>
        <w:t xml:space="preserve"> </w:t>
      </w:r>
      <w:r>
        <w:t xml:space="preserve">Professor</w:t>
      </w:r>
      <w:r>
        <w:t xml:space="preserve"> </w:t>
      </w:r>
      <w:r>
        <w:t xml:space="preserve">in</w:t>
      </w:r>
      <w:r>
        <w:t xml:space="preserve"> </w:t>
      </w:r>
      <w:r>
        <w:t xml:space="preserve">India New Delhi</w:t>
      </w:r>
      <w:r>
        <w:t xml:space="preserve">.</w:t>
      </w:r>
    </w:p>
    <w:p>
      <w:pPr>
        <w:pStyle w:val="BodyText"/>
      </w:pPr>
      <w:r>
        <w:t xml:space="preserve">For and on behalf of the Professor</w:t>
      </w:r>
    </w:p>
    <w:p>
      <w:pPr>
        <w:pStyle w:val="BodyText"/>
      </w:pPr>
      <w:r>
        <w:rPr>
          <w:bCs/>
          <w:b/>
        </w:rPr>
        <w:t xml:space="preserve">Dr. Arvind Sharma</w:t>
      </w:r>
      <w:r>
        <w:br/>
      </w:r>
      <w:r>
        <w:t xml:space="preserve">Professor, Department of Applied Sciences</w:t>
      </w:r>
      <w:r>
        <w:br/>
      </w:r>
      <w:r>
        <w:t xml:space="preserve">Central University, New Delhi – 110077</w:t>
      </w:r>
      <w:r>
        <w:br/>
      </w:r>
      <w:r>
        <w:t xml:space="preserve">Date: _______________</w:t>
      </w:r>
    </w:p>
    <w:p>
      <w:pPr>
        <w:pStyle w:val="BodyText"/>
      </w:pPr>
      <w:r>
        <w:t xml:space="preserve">For and on behalf of the Client</w:t>
      </w:r>
    </w:p>
    <w:p>
      <w:pPr>
        <w:pStyle w:val="BodyText"/>
      </w:pPr>
      <w:r>
        <w:rPr>
          <w:bCs/>
          <w:b/>
        </w:rPr>
        <w:t xml:space="preserve">Mr. Rajesh Malhotra</w:t>
      </w:r>
      <w:r>
        <w:br/>
      </w:r>
      <w:r>
        <w:t xml:space="preserve">Director, Malhotra Research &amp; Development Pvt. Ltd.</w:t>
      </w:r>
      <w:r>
        <w:br/>
      </w:r>
      <w:r>
        <w:t xml:space="preserve">New Delhi – 110001</w:t>
      </w:r>
      <w:r>
        <w:br/>
      </w:r>
      <w:r>
        <w:t xml:space="preserve">Date: _______________</w:t>
      </w:r>
    </w:p>
    <w:p>
      <w:pPr>
        <w:pStyle w:val="BodyText"/>
      </w:pPr>
      <w:r>
        <w:t xml:space="preserve">This Quotation Estimate has been prepared and issued in New Delhi, India. For any queries or clarifications regarding this document, please contact the Professor's office at the address mentioned above. This document is confidential and intended solely for the named recipient. Unauthorized reproduction or distribution is prohibited under the Copyright Act, 1957 (India).</w:t>
      </w:r>
      <w:r>
        <w:br/>
      </w:r>
      <w:r>
        <w:br/>
      </w:r>
      <w:r>
        <w:rPr>
          <w:iCs/>
          <w:i/>
        </w:rPr>
        <w:t xml:space="preserve">Document generated on 15 June 2025 | Ref: QTE/NDL/2025/0047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India New Delhi</dc:title>
  <dc:creator/>
  <dc:language>en</dc:language>
  <cp:keywords/>
  <dcterms:created xsi:type="dcterms:W3CDTF">2026-10-10T05:12:15Z</dcterms:created>
  <dcterms:modified xsi:type="dcterms:W3CDTF">2026-10-10T05:12:15Z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