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quotation-estimate"/>
    <w:p>
      <w:pPr>
        <w:pStyle w:val="Heading1"/>
      </w:pPr>
      <w:r>
        <w:t xml:space="preserve">Quotation Estimate</w:t>
      </w:r>
    </w:p>
    <w:p>
      <w:pPr>
        <w:pStyle w:val="FirstParagraph"/>
      </w:pPr>
      <w:r>
        <w:t xml:space="preserve">Professional Academic &amp; Consulting Services — Indonesia Jakarta</w:t>
      </w:r>
    </w:p>
    <w:p>
      <w:pPr>
        <w:pStyle w:val="BodyText"/>
      </w:pPr>
      <w:r>
        <w:t xml:space="preserve">Document Reference: QE-JKT-2025-0047 | Issued in Indonesia Jakarta</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QE-JKT-2025-0047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c>
          <w:tcPr/>
          <w:p>
            <w:pPr>
              <w:pStyle w:val="Compact"/>
              <w:jc w:val="left"/>
            </w:pPr>
            <w:r>
              <w:t xml:space="preserve">Currency</w:t>
            </w:r>
          </w:p>
        </w:tc>
        <w:tc>
          <w:tcPr/>
          <w:p>
            <w:pPr>
              <w:pStyle w:val="Compact"/>
              <w:jc w:val="left"/>
            </w:pPr>
            <w:r>
              <w:t xml:space="preserve">Indonesian Rupiah (IDR)</w:t>
            </w:r>
          </w:p>
        </w:tc>
      </w:tr>
      <w:tr>
        <w:tc>
          <w:tcPr/>
          <w:p>
            <w:pPr>
              <w:pStyle w:val="Compact"/>
              <w:jc w:val="left"/>
            </w:pPr>
            <w:r>
              <w:t xml:space="preserve">Prepared By</w:t>
            </w:r>
          </w:p>
        </w:tc>
        <w:tc>
          <w:tcPr/>
          <w:p>
            <w:pPr>
              <w:pStyle w:val="Compact"/>
              <w:jc w:val="left"/>
            </w:pPr>
            <w:r>
              <w:t xml:space="preserve">Office of Academic Affairs, Universitas Nusantara Jakarta</w:t>
            </w:r>
          </w:p>
        </w:tc>
        <w:tc>
          <w:tcPr/>
          <w:p>
            <w:pPr>
              <w:pStyle w:val="Compact"/>
              <w:jc w:val="left"/>
            </w:pPr>
            <w:r>
              <w:t xml:space="preserve">Location</w:t>
            </w:r>
          </w:p>
        </w:tc>
        <w:tc>
          <w:tcPr/>
          <w:p>
            <w:pPr>
              <w:pStyle w:val="Compact"/>
              <w:jc w:val="left"/>
            </w:pPr>
            <w:r>
              <w:t xml:space="preserve">Jakarta, Indonesia</w:t>
            </w:r>
          </w:p>
        </w:tc>
      </w:tr>
      <w:tr>
        <w:tc>
          <w:tcPr/>
          <w:p>
            <w:pPr>
              <w:pStyle w:val="Compact"/>
              <w:jc w:val="left"/>
            </w:pPr>
            <w:r>
              <w:t xml:space="preserve">Prepared For</w:t>
            </w:r>
          </w:p>
        </w:tc>
        <w:tc>
          <w:tcPr/>
          <w:p>
            <w:pPr>
              <w:pStyle w:val="Compact"/>
              <w:jc w:val="left"/>
            </w:pPr>
            <w:r>
              <w:t xml:space="preserve">PT. Cendekia Teknologi Indonesia, Jl. Jend. Sudirman Kav. 45, Jakarta Selatan, Indonesia Jakarta</w:t>
            </w:r>
          </w:p>
        </w:tc>
        <w:tc>
          <w:tcPr/>
          <w:p>
            <w:pPr>
              <w:pStyle w:val="Compact"/>
              <w:jc w:val="left"/>
            </w:pPr>
            <w:r>
              <w:t xml:space="preserve">Contact</w:t>
            </w:r>
          </w:p>
        </w:tc>
        <w:tc>
          <w:tcPr/>
          <w:p>
            <w:pPr>
              <w:pStyle w:val="Compact"/>
              <w:jc w:val="left"/>
            </w:pPr>
            <w:r>
              <w:t xml:space="preserve">procurement@cendekiatech.co.id</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breakdown of all costs associated with the engagement of a</w:t>
      </w:r>
      <w:r>
        <w:t xml:space="preserve"> </w:t>
      </w:r>
      <w:r>
        <w:t xml:space="preserve">Professor</w:t>
      </w:r>
      <w:r>
        <w:t xml:space="preserve"> </w:t>
      </w:r>
      <w:r>
        <w:t xml:space="preserve">of Applied Computer Science and Data Engineering for a twelve-month academic consulting and research collaboration. This document is prepared specifically for use in</w:t>
      </w:r>
      <w:r>
        <w:t xml:space="preserve"> </w:t>
      </w:r>
      <w:r>
        <w:t xml:space="preserve">Indonesia Jakarta</w:t>
      </w:r>
      <w:r>
        <w:t xml:space="preserve">, in accordance with the regulatory and fiscal frameworks governing professional services engagements within the Greater Jakarta metropolitan area. All figures presented herein are quoted in Indonesian Rupiah (IDR) and reflect current market rates applicable to the Indonesia Jakarta professional services sector as of the date of issue.</w:t>
      </w:r>
    </w:p>
    <w:bookmarkEnd w:id="21"/>
    <w:bookmarkStart w:id="22" w:name="scope-of-services-professor-engagement"/>
    <w:p>
      <w:pPr>
        <w:pStyle w:val="Heading2"/>
      </w:pPr>
      <w:r>
        <w:t xml:space="preserve">2. Scope of Services — Professor Engagement</w:t>
      </w:r>
    </w:p>
    <w:p>
      <w:pPr>
        <w:pStyle w:val="FirstParagraph"/>
      </w:pPr>
      <w:r>
        <w:t xml:space="preserve">The</w:t>
      </w:r>
      <w:r>
        <w:t xml:space="preserve"> </w:t>
      </w:r>
      <w:r>
        <w:t xml:space="preserve">Professor</w:t>
      </w:r>
      <w:r>
        <w:t xml:space="preserve"> </w:t>
      </w:r>
      <w:r>
        <w:t xml:space="preserve">to be engaged under this</w:t>
      </w:r>
      <w:r>
        <w:t xml:space="preserve"> </w:t>
      </w:r>
      <w:r>
        <w:t xml:space="preserve">Quotation Estimate</w:t>
      </w:r>
      <w:r>
        <w:t xml:space="preserve"> </w:t>
      </w:r>
      <w:r>
        <w:t xml:space="preserve">shall provide the following services within the Indonesia Jakarta operational area:</w:t>
      </w:r>
    </w:p>
    <w:p>
      <w:pPr>
        <w:numPr>
          <w:ilvl w:val="0"/>
          <w:numId w:val="1001"/>
        </w:numPr>
        <w:pStyle w:val="Compact"/>
      </w:pPr>
      <w:r>
        <w:t xml:space="preserve">Delivery of a structured 48-hour executive training program on Advanced Machine Learning and Data Architecture, conducted at the client’s headquarters in Indonesia Jakarta.</w:t>
      </w:r>
    </w:p>
    <w:p>
      <w:pPr>
        <w:numPr>
          <w:ilvl w:val="0"/>
          <w:numId w:val="1001"/>
        </w:numPr>
        <w:pStyle w:val="Compact"/>
      </w:pPr>
      <w:r>
        <w:t xml:space="preserve">Supervision and mentorship of a team of six (6) junior data scientists for a period of twelve (12) months, with a minimum of four (4) hours of dedicated guidance per week.</w:t>
      </w:r>
    </w:p>
    <w:p>
      <w:pPr>
        <w:numPr>
          <w:ilvl w:val="0"/>
          <w:numId w:val="1001"/>
        </w:numPr>
        <w:pStyle w:val="Compact"/>
      </w:pPr>
      <w:r>
        <w:t xml:space="preserve">Authorship and peer-review of no fewer than three (3) technical white papers relevant to the client’s industry vertical, to be published in internationally recognized journals.</w:t>
      </w:r>
    </w:p>
    <w:p>
      <w:pPr>
        <w:numPr>
          <w:ilvl w:val="0"/>
          <w:numId w:val="1001"/>
        </w:numPr>
        <w:pStyle w:val="Compact"/>
      </w:pPr>
      <w:r>
        <w:t xml:space="preserve">Participation in two (2) quarterly strategy workshops held in Indonesia Jakarta, each lasting a full business day (eight hours).</w:t>
      </w:r>
    </w:p>
    <w:p>
      <w:pPr>
        <w:numPr>
          <w:ilvl w:val="0"/>
          <w:numId w:val="1001"/>
        </w:numPr>
        <w:pStyle w:val="Compact"/>
      </w:pPr>
      <w:r>
        <w:t xml:space="preserve">Provision of an annual technology roadmap assessment report, delivered in both Bahasa Indonesia and English, tailored to the Indonesia Jakarta market context.</w:t>
      </w:r>
    </w:p>
    <w:p>
      <w:pPr>
        <w:numPr>
          <w:ilvl w:val="0"/>
          <w:numId w:val="1001"/>
        </w:numPr>
        <w:pStyle w:val="Compact"/>
      </w:pPr>
      <w:r>
        <w:t xml:space="preserve">Availability for ad-hoc technical consultations, capped at twenty (20) hours per quarter, to be scheduled by mutual agreement.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(IDR)</w:t>
            </w:r>
          </w:p>
        </w:tc>
        <w:tc>
          <w:tcPr/>
          <w:p>
            <w:pPr>
              <w:pStyle w:val="Compact"/>
              <w:jc w:val="left"/>
            </w:pPr>
            <w:r>
              <w:t xml:space="preserve">Subtotal (IDR)</w:t>
            </w:r>
          </w:p>
        </w:tc>
      </w:tr>
      <w:tr>
        <w:tc>
          <w:tcPr/>
          <w:p>
            <w:pPr>
              <w:pStyle w:val="Compact"/>
              <w:jc w:val="left"/>
            </w:pPr>
            <w:r>
              <w:t xml:space="preserve">1</w:t>
            </w:r>
          </w:p>
        </w:tc>
        <w:tc>
          <w:tcPr/>
          <w:p>
            <w:pPr>
              <w:pStyle w:val="Compact"/>
              <w:jc w:val="left"/>
            </w:pPr>
            <w:r>
              <w:t xml:space="preserve">Professor’s professional fee — Executive Training Program (48 hours, Indonesia Jakarta venue)</w:t>
            </w:r>
          </w:p>
        </w:tc>
        <w:tc>
          <w:tcPr/>
          <w:p>
            <w:pPr>
              <w:pStyle w:val="Compact"/>
              <w:jc w:val="left"/>
            </w:pPr>
            <w:r>
              <w:t xml:space="preserve">1 program</w:t>
            </w:r>
          </w:p>
        </w:tc>
        <w:tc>
          <w:tcPr/>
          <w:p>
            <w:pPr>
              <w:pStyle w:val="Compact"/>
              <w:jc w:val="left"/>
            </w:pPr>
            <w:r>
              <w:t xml:space="preserve">85,000,000</w:t>
            </w:r>
          </w:p>
        </w:tc>
        <w:tc>
          <w:tcPr/>
          <w:p>
            <w:pPr>
              <w:pStyle w:val="Compact"/>
              <w:jc w:val="left"/>
            </w:pPr>
            <w:r>
              <w:t xml:space="preserve">85,000,000</w:t>
            </w:r>
          </w:p>
        </w:tc>
      </w:tr>
      <w:tr>
        <w:tc>
          <w:tcPr/>
          <w:p>
            <w:pPr>
              <w:pStyle w:val="Compact"/>
              <w:jc w:val="left"/>
            </w:pPr>
            <w:r>
              <w:t xml:space="preserve">2</w:t>
            </w:r>
          </w:p>
        </w:tc>
        <w:tc>
          <w:tcPr/>
          <w:p>
            <w:pPr>
              <w:pStyle w:val="Compact"/>
              <w:jc w:val="left"/>
            </w:pPr>
            <w:r>
              <w:t xml:space="preserve">Professor’s monthly mentorship &amp; supervision fee (12 months, 4 hrs/week)</w:t>
            </w:r>
          </w:p>
        </w:tc>
        <w:tc>
          <w:tcPr/>
          <w:p>
            <w:pPr>
              <w:pStyle w:val="Compact"/>
              <w:jc w:val="left"/>
            </w:pPr>
            <w:r>
              <w:t xml:space="preserve">12 months</w:t>
            </w:r>
          </w:p>
        </w:tc>
        <w:tc>
          <w:tcPr/>
          <w:p>
            <w:pPr>
              <w:pStyle w:val="Compact"/>
              <w:jc w:val="left"/>
            </w:pPr>
            <w:r>
              <w:t xml:space="preserve">25,000,000</w:t>
            </w:r>
          </w:p>
        </w:tc>
        <w:tc>
          <w:tcPr/>
          <w:p>
            <w:pPr>
              <w:pStyle w:val="Compact"/>
              <w:jc w:val="left"/>
            </w:pPr>
            <w:r>
              <w:t xml:space="preserve">300,000,000</w:t>
            </w:r>
          </w:p>
        </w:tc>
      </w:tr>
      <w:tr>
        <w:tc>
          <w:tcPr/>
          <w:p>
            <w:pPr>
              <w:pStyle w:val="Compact"/>
              <w:jc w:val="left"/>
            </w:pPr>
            <w:r>
              <w:t xml:space="preserve">3</w:t>
            </w:r>
          </w:p>
        </w:tc>
        <w:tc>
          <w:tcPr/>
          <w:p>
            <w:pPr>
              <w:pStyle w:val="Compact"/>
              <w:jc w:val="left"/>
            </w:pPr>
            <w:r>
              <w:t xml:space="preserve">White paper authorship &amp; peer-review (3 publications, international journals)</w:t>
            </w:r>
          </w:p>
        </w:tc>
        <w:tc>
          <w:tcPr/>
          <w:p>
            <w:pPr>
              <w:pStyle w:val="Compact"/>
              <w:jc w:val="left"/>
            </w:pPr>
            <w:r>
              <w:t xml:space="preserve">3 papers</w:t>
            </w:r>
          </w:p>
        </w:tc>
        <w:tc>
          <w:tcPr/>
          <w:p>
            <w:pPr>
              <w:pStyle w:val="Compact"/>
              <w:jc w:val="left"/>
            </w:pPr>
            <w:r>
              <w:t xml:space="preserve">18,000,000</w:t>
            </w:r>
          </w:p>
        </w:tc>
        <w:tc>
          <w:tcPr/>
          <w:p>
            <w:pPr>
              <w:pStyle w:val="Compact"/>
              <w:jc w:val="left"/>
            </w:pPr>
            <w:r>
              <w:t xml:space="preserve">54,000,000</w:t>
            </w:r>
          </w:p>
        </w:tc>
      </w:tr>
      <w:tr>
        <w:tc>
          <w:tcPr/>
          <w:p>
            <w:pPr>
              <w:pStyle w:val="Compact"/>
              <w:jc w:val="left"/>
            </w:pPr>
            <w:r>
              <w:t xml:space="preserve">4</w:t>
            </w:r>
          </w:p>
        </w:tc>
        <w:tc>
          <w:tcPr/>
          <w:p>
            <w:pPr>
              <w:pStyle w:val="Compact"/>
              <w:jc w:val="left"/>
            </w:pPr>
            <w:r>
              <w:t xml:space="preserve">Quarterly strategy workshop participation (2 workshops, 8 hrs each, Indonesia Jakarta)</w:t>
            </w:r>
          </w:p>
        </w:tc>
        <w:tc>
          <w:tcPr/>
          <w:p>
            <w:pPr>
              <w:pStyle w:val="Compact"/>
              <w:jc w:val="left"/>
            </w:pPr>
            <w:r>
              <w:t xml:space="preserve">2 workshops</w:t>
            </w:r>
          </w:p>
        </w:tc>
        <w:tc>
          <w:tcPr/>
          <w:p>
            <w:pPr>
              <w:pStyle w:val="Compact"/>
              <w:jc w:val="left"/>
            </w:pPr>
            <w:r>
              <w:t xml:space="preserve">12,000,000</w:t>
            </w:r>
          </w:p>
        </w:tc>
        <w:tc>
          <w:tcPr/>
          <w:p>
            <w:pPr>
              <w:pStyle w:val="Compact"/>
              <w:jc w:val="left"/>
            </w:pPr>
            <w:r>
              <w:t xml:space="preserve">24,000,000</w:t>
            </w:r>
          </w:p>
        </w:tc>
      </w:tr>
      <w:tr>
        <w:tc>
          <w:tcPr/>
          <w:p>
            <w:pPr>
              <w:pStyle w:val="Compact"/>
              <w:jc w:val="left"/>
            </w:pPr>
            <w:r>
              <w:t xml:space="preserve">5</w:t>
            </w:r>
          </w:p>
        </w:tc>
        <w:tc>
          <w:tcPr/>
          <w:p>
            <w:pPr>
              <w:pStyle w:val="Compact"/>
              <w:jc w:val="left"/>
            </w:pPr>
            <w:r>
              <w:t xml:space="preserve">Annual technology roadmap assessment report (bilingual: Bahasa Indonesia &amp; English)</w:t>
            </w:r>
          </w:p>
        </w:tc>
        <w:tc>
          <w:tcPr/>
          <w:p>
            <w:pPr>
              <w:pStyle w:val="Compact"/>
              <w:jc w:val="left"/>
            </w:pPr>
            <w:r>
              <w:t xml:space="preserve">1 report</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6</w:t>
            </w:r>
          </w:p>
        </w:tc>
        <w:tc>
          <w:tcPr/>
          <w:p>
            <w:pPr>
              <w:pStyle w:val="Compact"/>
              <w:jc w:val="left"/>
            </w:pPr>
            <w:r>
              <w:t xml:space="preserve">Ad-hoc technical consultation hours (capped at 20 hrs/quarter, 4 quarters)</w:t>
            </w:r>
          </w:p>
        </w:tc>
        <w:tc>
          <w:tcPr/>
          <w:p>
            <w:pPr>
              <w:pStyle w:val="Compact"/>
              <w:jc w:val="left"/>
            </w:pPr>
            <w:r>
              <w:t xml:space="preserve">80 hours</w:t>
            </w:r>
          </w:p>
        </w:tc>
        <w:tc>
          <w:tcPr/>
          <w:p>
            <w:pPr>
              <w:pStyle w:val="Compact"/>
              <w:jc w:val="left"/>
            </w:pPr>
            <w:r>
              <w:t xml:space="preserve">1,500,000</w:t>
            </w:r>
          </w:p>
        </w:tc>
        <w:tc>
          <w:tcPr/>
          <w:p>
            <w:pPr>
              <w:pStyle w:val="Compact"/>
              <w:jc w:val="left"/>
            </w:pPr>
            <w:r>
              <w:t xml:space="preserve">120,000,000</w:t>
            </w:r>
          </w:p>
        </w:tc>
      </w:tr>
      <w:tr>
        <w:tc>
          <w:tcPr/>
          <w:p>
            <w:pPr>
              <w:pStyle w:val="Compact"/>
              <w:jc w:val="left"/>
            </w:pPr>
            <w:r>
              <w:t xml:space="preserve">7</w:t>
            </w:r>
          </w:p>
        </w:tc>
        <w:tc>
          <w:tcPr/>
          <w:p>
            <w:pPr>
              <w:pStyle w:val="Compact"/>
              <w:jc w:val="left"/>
            </w:pPr>
            <w:r>
              <w:t xml:space="preserve">Local transportation &amp; logistics within Indonesia Jakarta (monthly allowance)</w:t>
            </w:r>
          </w:p>
        </w:tc>
        <w:tc>
          <w:tcPr/>
          <w:p>
            <w:pPr>
              <w:pStyle w:val="Compact"/>
              <w:jc w:val="left"/>
            </w:pPr>
            <w:r>
              <w:t xml:space="preserve">12 months</w:t>
            </w:r>
          </w:p>
        </w:tc>
        <w:tc>
          <w:tcPr/>
          <w:p>
            <w:pPr>
              <w:pStyle w:val="Compact"/>
              <w:jc w:val="left"/>
            </w:pPr>
            <w:r>
              <w:t xml:space="preserve">3,500,000</w:t>
            </w:r>
          </w:p>
        </w:tc>
        <w:tc>
          <w:tcPr/>
          <w:p>
            <w:pPr>
              <w:pStyle w:val="Compact"/>
              <w:jc w:val="left"/>
            </w:pPr>
            <w:r>
              <w:t xml:space="preserve">42,000,000</w:t>
            </w:r>
          </w:p>
        </w:tc>
      </w:tr>
      <w:tr>
        <w:tc>
          <w:tcPr/>
          <w:p>
            <w:pPr>
              <w:pStyle w:val="Compact"/>
              <w:jc w:val="left"/>
            </w:pPr>
            <w:r>
              <w:t xml:space="preserve">8</w:t>
            </w:r>
          </w:p>
        </w:tc>
        <w:tc>
          <w:tcPr/>
          <w:p>
            <w:pPr>
              <w:pStyle w:val="Compact"/>
              <w:jc w:val="left"/>
            </w:pPr>
            <w:r>
              <w:t xml:space="preserve">Administrative &amp; coordination overhead (document processing, scheduling, Indonesia Jakarta office support)</w:t>
            </w:r>
          </w:p>
        </w:tc>
        <w:tc>
          <w:tcPr/>
          <w:p>
            <w:pPr>
              <w:pStyle w:val="Compact"/>
              <w:jc w:val="left"/>
            </w:pPr>
            <w:r>
              <w:t xml:space="preserve">12 months</w:t>
            </w:r>
          </w:p>
        </w:tc>
        <w:tc>
          <w:tcPr/>
          <w:p>
            <w:pPr>
              <w:pStyle w:val="Compact"/>
              <w:jc w:val="left"/>
            </w:pPr>
            <w:r>
              <w:t xml:space="preserve">5,000,000</w:t>
            </w:r>
          </w:p>
        </w:tc>
        <w:tc>
          <w:tcPr/>
          <w:p>
            <w:pPr>
              <w:pStyle w:val="Compact"/>
              <w:jc w:val="left"/>
            </w:pPr>
            <w:r>
              <w:t xml:space="preserve">60,000,000</w:t>
            </w:r>
          </w:p>
        </w:tc>
      </w:tr>
      <w:tr>
        <w:tc>
          <w:tcPr>
            <w:gridSpan w:val="4"/>
          </w:tcPr>
          <w:p>
            <w:pPr>
              <w:pStyle w:val="Compact"/>
              <w:jc w:val="right"/>
            </w:pPr>
            <w:r>
              <w:t xml:space="preserve">Subtotal (before tax)</w:t>
            </w:r>
          </w:p>
        </w:tc>
        <w:tc>
          <w:tcPr/>
          <w:p>
            <w:pPr>
              <w:pStyle w:val="Compact"/>
              <w:jc w:val="left"/>
            </w:pPr>
            <w:r>
              <w:t xml:space="preserve">720,000,000</w:t>
            </w:r>
          </w:p>
        </w:tc>
      </w:tr>
      <w:tr>
        <w:tc>
          <w:tcPr>
            <w:gridSpan w:val="4"/>
          </w:tcPr>
          <w:p>
            <w:pPr>
              <w:pStyle w:val="Compact"/>
              <w:jc w:val="right"/>
            </w:pPr>
            <w:r>
              <w:t xml:space="preserve">VAT (PPN) — 11% (applicable in Indonesia Jakarta)</w:t>
            </w:r>
          </w:p>
        </w:tc>
        <w:tc>
          <w:tcPr/>
          <w:p>
            <w:pPr>
              <w:pStyle w:val="Compact"/>
              <w:jc w:val="left"/>
            </w:pPr>
            <w:r>
              <w:t xml:space="preserve">79,200,000</w:t>
            </w:r>
          </w:p>
        </w:tc>
      </w:tr>
      <w:tr>
        <w:tc>
          <w:tcPr>
            <w:gridSpan w:val="4"/>
          </w:tcPr>
          <w:p>
            <w:pPr>
              <w:pStyle w:val="Compact"/>
              <w:jc w:val="right"/>
            </w:pPr>
            <w:r>
              <w:t xml:space="preserve">Withholding Tax (PPh 23) — 2% (deducted at source)</w:t>
            </w:r>
          </w:p>
        </w:tc>
        <w:tc>
          <w:tcPr/>
          <w:p>
            <w:pPr>
              <w:pStyle w:val="Compact"/>
              <w:jc w:val="left"/>
            </w:pPr>
            <w:r>
              <w:t xml:space="preserve">(14,400,000)</w:t>
            </w:r>
          </w:p>
        </w:tc>
      </w:tr>
      <w:tr>
        <w:tc>
          <w:tcPr>
            <w:gridSpan w:val="4"/>
          </w:tcPr>
          <w:p>
            <w:pPr>
              <w:pStyle w:val="Compact"/>
              <w:jc w:val="right"/>
            </w:pPr>
            <w:r>
              <w:t xml:space="preserve">GRAND TOTAL (Net Payable)</w:t>
            </w:r>
          </w:p>
        </w:tc>
        <w:tc>
          <w:tcPr/>
          <w:p>
            <w:pPr>
              <w:pStyle w:val="Compact"/>
              <w:jc w:val="left"/>
            </w:pPr>
            <w:r>
              <w:t xml:space="preserve">884,800,000</w:t>
            </w:r>
          </w:p>
        </w:tc>
      </w:tr>
    </w:tbl>
    <w:p>
      <w:pPr>
        <w:pStyle w:val="BodyText"/>
      </w:pPr>
      <w:r>
        <w:rPr>
          <w:bCs/>
          <w:b/>
        </w:rPr>
        <w:t xml:space="preserve">Note:</w:t>
      </w:r>
      <w:r>
        <w:t xml:space="preserve"> </w:t>
      </w:r>
      <w:r>
        <w:t xml:space="preserve">The above</w:t>
      </w:r>
      <w:r>
        <w:t xml:space="preserve"> </w:t>
      </w:r>
      <w:r>
        <w:t xml:space="preserve">Quotation Estimate</w:t>
      </w:r>
      <w:r>
        <w:t xml:space="preserve"> </w:t>
      </w:r>
      <w:r>
        <w:t xml:space="preserve">is exclusive of any international travel expenses should the</w:t>
      </w:r>
      <w:r>
        <w:t xml:space="preserve"> </w:t>
      </w:r>
      <w:r>
        <w:t xml:space="preserve">Professor</w:t>
      </w:r>
      <w:r>
        <w:t xml:space="preserve"> </w:t>
      </w:r>
      <w:r>
        <w:t xml:space="preserve">be required to attend conferences outside of Indonesia Jakarta. Such costs, if applicable, shall be itemized in a supplementary addendum to this document. All rates are fixed for the duration of the engagement period and are not subject to mid-term revision.</w:t>
      </w:r>
    </w:p>
    <w:bookmarkEnd w:id="23"/>
    <w:bookmarkStart w:id="24" w:name="payment-terms-schedule"/>
    <w:p>
      <w:pPr>
        <w:pStyle w:val="Heading2"/>
      </w:pPr>
      <w:r>
        <w:t xml:space="preserve">4. Payment Terms &amp; Schedule</w:t>
      </w:r>
    </w:p>
    <w:p>
      <w:pPr>
        <w:pStyle w:val="FirstParagraph"/>
      </w:pPr>
      <w:r>
        <w:t xml:space="preserve">Payment for the services outlined in this</w:t>
      </w:r>
      <w:r>
        <w:t xml:space="preserve"> </w:t>
      </w:r>
      <w:r>
        <w:t xml:space="preserve">Quotation Estimate</w:t>
      </w:r>
      <w:r>
        <w:t xml:space="preserve"> </w:t>
      </w:r>
      <w:r>
        <w:t xml:space="preserve">shall be made via bank transfer to the designated account of the</w:t>
      </w:r>
      <w:r>
        <w:t xml:space="preserve"> </w:t>
      </w:r>
      <w:r>
        <w:t xml:space="preserve">Professor</w:t>
      </w:r>
      <w:r>
        <w:t xml:space="preserve">’s affiliated institution, in accordance with the following schedule:</w:t>
      </w:r>
    </w:p>
    <w:p>
      <w:pPr>
        <w:numPr>
          <w:ilvl w:val="0"/>
          <w:numId w:val="1002"/>
        </w:numPr>
        <w:pStyle w:val="Compact"/>
      </w:pPr>
      <w:r>
        <w:rPr>
          <w:bCs/>
          <w:b/>
        </w:rPr>
        <w:t xml:space="preserve">30% advance payment</w:t>
      </w:r>
      <w:r>
        <w:t xml:space="preserve"> </w:t>
      </w:r>
      <w:r>
        <w:t xml:space="preserve">(IDR 265,440,000) upon execution of the service agreement, to be remitted within ten (10) business days of signing.</w:t>
      </w:r>
    </w:p>
    <w:p>
      <w:pPr>
        <w:numPr>
          <w:ilvl w:val="0"/>
          <w:numId w:val="1002"/>
        </w:numPr>
        <w:pStyle w:val="Compact"/>
      </w:pPr>
      <w:r>
        <w:rPr>
          <w:bCs/>
          <w:b/>
        </w:rPr>
        <w:t xml:space="preserve">Monthly installments</w:t>
      </w:r>
      <w:r>
        <w:t xml:space="preserve"> </w:t>
      </w:r>
      <w:r>
        <w:t xml:space="preserve">of IDR 47,900,000 for the mentorship, transportation, and administrative components, payable by the 5th business day of each subsequent month.</w:t>
      </w:r>
    </w:p>
    <w:p>
      <w:pPr>
        <w:numPr>
          <w:ilvl w:val="0"/>
          <w:numId w:val="1002"/>
        </w:numPr>
        <w:pStyle w:val="Compact"/>
      </w:pPr>
      <w:r>
        <w:rPr>
          <w:bCs/>
          <w:b/>
        </w:rPr>
        <w:t xml:space="preserve">Final settlement</w:t>
      </w:r>
      <w:r>
        <w:t xml:space="preserve"> </w:t>
      </w:r>
      <w:r>
        <w:t xml:space="preserve">of all remaining balances, including the technology roadmap report and any unused consultation hours, to be completed within fifteen (15) business days of the engagement’s conclusion.</w:t>
      </w:r>
    </w:p>
    <w:p>
      <w:pPr>
        <w:pStyle w:val="FirstParagraph"/>
      </w:pPr>
      <w:r>
        <w:t xml:space="preserve">All payments are subject to the applicable Indonesian tax regulations as enforced in Indonesia Jakarta. The client shall issue the relevant tax withholding certificates (Bukti Potong) in compliance with the Directorate General of Taxes (Ditjen Pajak) guidelines.</w:t>
      </w:r>
    </w:p>
    <w:bookmarkEnd w:id="24"/>
    <w:bookmarkStart w:id="25" w:name="terms-conditions"/>
    <w:p>
      <w:pPr>
        <w:pStyle w:val="Heading2"/>
      </w:pPr>
      <w:r>
        <w:t xml:space="preserve">5. Terms &amp;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a period of thirty (30) calendar days from the date of issue. Beyond this period, all rates and terms are subject to re-evaluation and may be adjusted to reflect prevailing market conditions in Indonesia Jakarta.</w:t>
      </w:r>
    </w:p>
    <w:p>
      <w:pPr>
        <w:pStyle w:val="BodyText"/>
      </w:pPr>
      <w:r>
        <w:rPr>
          <w:bCs/>
          <w:b/>
        </w:rPr>
        <w:t xml:space="preserve">5.2</w:t>
      </w:r>
      <w:r>
        <w:t xml:space="preserve"> </w:t>
      </w:r>
      <w:r>
        <w:t xml:space="preserve">The</w:t>
      </w:r>
      <w:r>
        <w:t xml:space="preserve"> </w:t>
      </w:r>
      <w:r>
        <w:t xml:space="preserve">Professor</w:t>
      </w:r>
      <w:r>
        <w:t xml:space="preserve"> </w:t>
      </w:r>
      <w:r>
        <w:t xml:space="preserve">reserves the right to decline or reschedule any engagement component with a minimum of fourteen (14) days’ written notice, provided that the client is offered a suitable alternative date within the same calendar month.</w:t>
      </w:r>
    </w:p>
    <w:p>
      <w:pPr>
        <w:pStyle w:val="BodyText"/>
      </w:pPr>
      <w:r>
        <w:rPr>
          <w:bCs/>
          <w:b/>
        </w:rPr>
        <w:t xml:space="preserve">5.3</w:t>
      </w:r>
      <w:r>
        <w:t xml:space="preserve"> </w:t>
      </w:r>
      <w:r>
        <w:t xml:space="preserve">All intellectual property generated during the course of this engagement, including but not limited to white papers, training materials, and the technology roadmap report, shall be jointly owned by the</w:t>
      </w:r>
      <w:r>
        <w:t xml:space="preserve"> </w:t>
      </w:r>
      <w:r>
        <w:t xml:space="preserve">Professor</w:t>
      </w:r>
      <w:r>
        <w:t xml:space="preserve"> </w:t>
      </w:r>
      <w:r>
        <w:t xml:space="preserve">and the client, with specific usage rights to be delineated in the definitive service agreement.</w:t>
      </w:r>
    </w:p>
    <w:p>
      <w:pPr>
        <w:pStyle w:val="BodyText"/>
      </w:pPr>
      <w:r>
        <w:rPr>
          <w:bCs/>
          <w:b/>
        </w:rPr>
        <w:t xml:space="preserve">5.4</w:t>
      </w:r>
      <w:r>
        <w:t xml:space="preserve"> </w:t>
      </w:r>
      <w:r>
        <w:t xml:space="preserve">This</w:t>
      </w:r>
      <w:r>
        <w:t xml:space="preserve"> </w:t>
      </w:r>
      <w:r>
        <w:t xml:space="preserve">Quotation Estimate</w:t>
      </w:r>
      <w:r>
        <w:t xml:space="preserve"> </w:t>
      </w:r>
      <w:r>
        <w:t xml:space="preserve">does not constitute a binding contract. A formal service agreement, to be drafted in accordance with Indonesian civil law (KUHPerdata) and applicable regulations in Indonesia Jakarta, must be executed by both parties before any services commence.</w:t>
      </w:r>
    </w:p>
    <w:p>
      <w:pPr>
        <w:pStyle w:val="BodyText"/>
      </w:pPr>
      <w:r>
        <w:rPr>
          <w:bCs/>
          <w:b/>
        </w:rPr>
        <w:t xml:space="preserve">5.5</w:t>
      </w:r>
      <w:r>
        <w:t xml:space="preserve"> </w:t>
      </w:r>
      <w:r>
        <w:t xml:space="preserve">In the event of force majeure, including but not limited to natural disasters, government-mandated closures, or public health emergencies affecting Indonesia Jakarta, either party may suspend obligations without penalty, with a maximum suspension period of sixty (60) consecutive days.</w:t>
      </w:r>
    </w:p>
    <w:p>
      <w:pPr>
        <w:pStyle w:val="BodyText"/>
      </w:pPr>
      <w:r>
        <w:rPr>
          <w:bCs/>
          <w:b/>
        </w:rPr>
        <w:t xml:space="preserve">5.6</w:t>
      </w:r>
      <w:r>
        <w:t xml:space="preserve"> </w:t>
      </w:r>
      <w:r>
        <w:t xml:space="preserve">Disputes arising from this</w:t>
      </w:r>
      <w:r>
        <w:t xml:space="preserve"> </w:t>
      </w:r>
      <w:r>
        <w:t xml:space="preserve">Quotation Estimate</w:t>
      </w:r>
      <w:r>
        <w:t xml:space="preserve"> </w:t>
      </w:r>
      <w:r>
        <w:t xml:space="preserve">or the subsequent service agreement shall be resolved through mediation in Indonesia Jakarta, and failing mediation, through the competent courts of the South Jakarta District Court (Pengadilan Negeri Jakarta Selatan).</w:t>
      </w:r>
    </w:p>
    <w:bookmarkEnd w:id="25"/>
    <w:bookmarkStart w:id="26" w:name="acceptance-authorization"/>
    <w:p>
      <w:pPr>
        <w:pStyle w:val="Heading2"/>
      </w:pPr>
      <w:r>
        <w:t xml:space="preserve">6. Acceptance &amp; Authorization</w:t>
      </w:r>
    </w:p>
    <w:p>
      <w:pPr>
        <w:pStyle w:val="FirstParagraph"/>
      </w:pPr>
      <w:r>
        <w:t xml:space="preserve">By signing below, both parties acknowledge that they have read, understood, and agree to the terms set forth in this</w:t>
      </w:r>
      <w:r>
        <w:t xml:space="preserve"> </w:t>
      </w:r>
      <w:r>
        <w:t xml:space="preserve">Quotation Estimate</w:t>
      </w:r>
      <w:r>
        <w:t xml:space="preserve"> </w:t>
      </w:r>
      <w:r>
        <w:t xml:space="preserve">for the engagement of the</w:t>
      </w:r>
      <w:r>
        <w:t xml:space="preserve"> </w:t>
      </w:r>
      <w:r>
        <w:t xml:space="preserve">Professor</w:t>
      </w:r>
      <w:r>
        <w:t xml:space="preserve"> </w:t>
      </w:r>
      <w:r>
        <w:t xml:space="preserve">in Indonesia Jakarta. This document, once countersigned, shall serve as the basis for the preparation of the definitive service agreement.</w:t>
      </w:r>
    </w:p>
    <w:p>
      <w:pPr>
        <w:pStyle w:val="BodyText"/>
      </w:pPr>
      <w:r>
        <w:rPr>
          <w:bCs/>
          <w:b/>
        </w:rPr>
        <w:t xml:space="preserve">Prepared By (Provider)</w:t>
      </w:r>
      <w:r>
        <w:br/>
      </w:r>
      <w:r>
        <w:t xml:space="preserve">Dr. Ir. Bambang Sutrisno, M.Sc., Ph.D.</w:t>
      </w:r>
      <w:r>
        <w:br/>
      </w:r>
      <w:r>
        <w:t xml:space="preserve">Professor of Applied Computer Science</w:t>
      </w:r>
      <w:r>
        <w:br/>
      </w:r>
      <w:r>
        <w:t xml:space="preserve">Universitas Nusantara Jakarta</w:t>
      </w:r>
      <w:r>
        <w:br/>
      </w:r>
      <w:r>
        <w:t xml:space="preserve">Jakarta, Indonesia</w:t>
      </w:r>
    </w:p>
    <w:p>
      <w:pPr>
        <w:pStyle w:val="BodyText"/>
      </w:pPr>
      <w:r>
        <w:rPr>
          <w:bCs/>
          <w:b/>
        </w:rPr>
        <w:t xml:space="preserve">Accepted By (Client)</w:t>
      </w:r>
      <w:r>
        <w:br/>
      </w:r>
      <w:r>
        <w:t xml:space="preserve">______________________________</w:t>
      </w:r>
      <w:r>
        <w:br/>
      </w:r>
      <w:r>
        <w:t xml:space="preserve">Name:</w:t>
      </w:r>
      <w:r>
        <w:br/>
      </w:r>
      <w:r>
        <w:t xml:space="preserve">Title: Head of Procurement</w:t>
      </w:r>
      <w:r>
        <w:br/>
      </w:r>
      <w:r>
        <w:t xml:space="preserve">PT. Cendekia Teknologi Indonesia</w:t>
      </w:r>
      <w:r>
        <w:br/>
      </w:r>
      <w:r>
        <w:t xml:space="preserve">Jakarta Selatan, Indonesia Jakarta</w:t>
      </w:r>
    </w:p>
    <w:p>
      <w:pPr>
        <w:pStyle w:val="BodyText"/>
      </w:pPr>
      <w:r>
        <w:t xml:space="preserve">This Quotation Estimate document was prepared and issued in Indonesia Jakarta, Indonesia. © 2025 Universitas Nusantara Jakarta — Office of Academic Affairs. All rights reserved. Document QE-JKT-2025-0047.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Professor Services - Indonesia Jakarta</dc:title>
  <dc:creator/>
  <dc:language>en</dc:language>
  <cp:keywords/>
  <dcterms:created xsi:type="dcterms:W3CDTF">2026-10-10T06:41:25Z</dcterms:created>
  <dcterms:modified xsi:type="dcterms:W3CDTF">2026-10-10T06:41:25Z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