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0e150d7ef8c75451568f2307de1e451967ea47b"/>
    <w:p>
      <w:pPr>
        <w:pStyle w:val="Heading2"/>
      </w:pPr>
      <w:r>
        <w:t xml:space="preserve">Professional Academic Services — Professor Engagement</w:t>
      </w:r>
    </w:p>
    <w:p>
      <w:pPr>
        <w:pStyle w:val="FirstParagraph"/>
      </w:pPr>
      <w:r>
        <w:t xml:space="preserve">Prepared for use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 </w:t>
      </w:r>
      <w:r>
        <w:t xml:space="preserve">— Academic &amp; Research Sector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QTE-IRN-THR-2025-0472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Mohammad Reza Karimi, Director of Academic Affairs, Alborz Higher Education Consortium, Tehran, Iran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Iranian National Research Council (INRC), Valiasr Street, Tehran, Iran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Quotation Estimate for the engagement of a</w:t>
            </w:r>
            <w:r>
              <w:t xml:space="preserve"> </w:t>
            </w:r>
            <w:r>
              <w:rPr>
                <w:bCs/>
                <w:b/>
              </w:rPr>
              <w:t xml:space="preserve">Professor</w:t>
            </w:r>
            <w:r>
              <w:t xml:space="preserve"> </w:t>
            </w:r>
            <w:r>
              <w:t xml:space="preserve">in Applied Mathematics and Computational Sciences for a 12-month academic and research term in</w:t>
            </w:r>
            <w:r>
              <w:t xml:space="preserve"> </w:t>
            </w:r>
            <w:r>
              <w:rPr>
                <w:bCs/>
                <w:b/>
              </w:rPr>
              <w:t xml:space="preserve">Iran Tehran</w:t>
            </w:r>
          </w:p>
        </w:tc>
      </w:tr>
    </w:tbl>
    <w:bookmarkStart w:id="22" w:name="X157bb4e911294ae179e36125e5c65442f8343b9"/>
    <w:p>
      <w:pPr>
        <w:pStyle w:val="Heading2"/>
      </w:pPr>
      <w:r>
        <w:t xml:space="preserve">1. Scope of Services — Professor Engagement in Iran Tehran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in accordance with the academic procurement regulations of the Islamic Republic of Iran and pertains specifically to the recruitment and engagement of a</w:t>
      </w:r>
      <w:r>
        <w:t xml:space="preserve"> </w:t>
      </w:r>
      <w:r>
        <w:t xml:space="preserve">Professor</w:t>
      </w:r>
      <w:r>
        <w:t xml:space="preserve"> </w:t>
      </w:r>
      <w:r>
        <w:t xml:space="preserve">of Applied Mathematics and Computational Sciences. The</w:t>
      </w:r>
      <w:r>
        <w:t xml:space="preserve"> </w:t>
      </w:r>
      <w:r>
        <w:t xml:space="preserve">Professor</w:t>
      </w:r>
      <w:r>
        <w:t xml:space="preserve"> </w:t>
      </w:r>
      <w:r>
        <w:t xml:space="preserve">shall be based at the Iranian National Research Council facility located in the Valiasr district of</w:t>
      </w:r>
      <w:r>
        <w:t xml:space="preserve"> </w:t>
      </w:r>
      <w:r>
        <w:t xml:space="preserve">Iran Tehran</w:t>
      </w:r>
      <w:r>
        <w:t xml:space="preserve"> </w:t>
      </w:r>
      <w:r>
        <w:t xml:space="preserve">and shall deliver the following services over a continuous twelve-month period commencing on 1 September 2025:</w:t>
      </w:r>
    </w:p>
    <w:p>
      <w:pPr>
        <w:numPr>
          <w:ilvl w:val="0"/>
          <w:numId w:val="1001"/>
        </w:numPr>
        <w:pStyle w:val="Compact"/>
      </w:pPr>
      <w:r>
        <w:t xml:space="preserve">Delivery of a minimum of 120 contact hours of graduate-level instruction in advanced computational methods, numerical analysis, and applied mathematical modeling.</w:t>
      </w:r>
    </w:p>
    <w:p>
      <w:pPr>
        <w:numPr>
          <w:ilvl w:val="0"/>
          <w:numId w:val="1001"/>
        </w:numPr>
        <w:pStyle w:val="Compact"/>
      </w:pPr>
      <w:r>
        <w:t xml:space="preserve">Supervision of no fewer than six (6) doctoral research candidates registered at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campus, including weekly one-on-one advisory sessions and formal thesis review milestones.</w:t>
      </w:r>
    </w:p>
    <w:p>
      <w:pPr>
        <w:numPr>
          <w:ilvl w:val="0"/>
          <w:numId w:val="1001"/>
        </w:numPr>
        <w:pStyle w:val="Compact"/>
      </w:pPr>
      <w:r>
        <w:t xml:space="preserve">Co-authorship and publication of at least two (2) peer-reviewed research articles in internationally indexed journals during the engagement period.</w:t>
      </w:r>
    </w:p>
    <w:p>
      <w:pPr>
        <w:numPr>
          <w:ilvl w:val="0"/>
          <w:numId w:val="1001"/>
        </w:numPr>
        <w:pStyle w:val="Compact"/>
      </w:pPr>
      <w:r>
        <w:t xml:space="preserve">Participation in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Annual Symposium on Computational Sciences, including a keynote address and a moderated panel discussion.</w:t>
      </w:r>
    </w:p>
    <w:p>
      <w:pPr>
        <w:numPr>
          <w:ilvl w:val="0"/>
          <w:numId w:val="1001"/>
        </w:numPr>
        <w:pStyle w:val="Compact"/>
      </w:pPr>
      <w:r>
        <w:t xml:space="preserve">Development of a new graduate curriculum module titled "Stochastic Optimization in Engineering Systems" to be integrated into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master's programme by the end of the first semester.</w:t>
      </w:r>
    </w:p>
    <w:p>
      <w:pPr>
        <w:numPr>
          <w:ilvl w:val="0"/>
          <w:numId w:val="1001"/>
        </w:numPr>
        <w:pStyle w:val="Compact"/>
      </w:pPr>
      <w:r>
        <w:t xml:space="preserve">Mentorship of two (2) junior faculty members in research methodology and grant-writing strategies aligned with the National Science Foundation of Iran funding priorities.</w:t>
      </w:r>
    </w:p>
    <w:bookmarkEnd w:id="22"/>
    <w:bookmarkStart w:id="23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 monthly academic salary for the</w:t>
            </w:r>
            <w:r>
              <w:t xml:space="preserve"> </w:t>
            </w:r>
            <w:r>
              <w:rPr>
                <w:bCs/>
                <w:b/>
              </w:rPr>
              <w:t xml:space="preserve">Professor</w:t>
            </w:r>
            <w:r>
              <w:t xml:space="preserve"> </w:t>
            </w:r>
            <w:r>
              <w:t xml:space="preserve">(full-time, 12-month term)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stipend and laboratory access fees at the</w:t>
            </w:r>
            <w:r>
              <w:t xml:space="preserve"> </w:t>
            </w:r>
            <w:r>
              <w:rPr>
                <w:bCs/>
                <w:b/>
              </w:rPr>
              <w:t xml:space="preserve">Iran Tehran</w:t>
            </w:r>
            <w:r>
              <w:t xml:space="preserve"> </w:t>
            </w:r>
            <w:r>
              <w:t xml:space="preserve">INRC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Doctoral supervision allowance (6 candidates ×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Publication and open-access journal fees (2 articles)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articles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development and instructional design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Keynote address and symposium participation at the</w:t>
            </w:r>
            <w:r>
              <w:t xml:space="preserve"> </w:t>
            </w:r>
            <w:r>
              <w:rPr>
                <w:bCs/>
                <w:b/>
              </w:rPr>
              <w:t xml:space="preserve">Iran Tehran</w:t>
            </w:r>
            <w:r>
              <w:t xml:space="preserve"> </w:t>
            </w:r>
            <w:r>
              <w:t xml:space="preserve">Annual Symposium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faculty mentorship programme (2 mentees ×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and housing subsidy for the</w:t>
            </w:r>
            <w:r>
              <w:t xml:space="preserve"> </w:t>
            </w:r>
            <w:r>
              <w:rPr>
                <w:bCs/>
                <w:b/>
              </w:rPr>
              <w:t xml:space="preserve">Professor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Iran Tehran</w:t>
            </w:r>
            <w:r>
              <w:t xml:space="preserve"> </w:t>
            </w:r>
            <w:r>
              <w:t xml:space="preserve">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occurrence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institutional overhead (8%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1,586,200,000</w:t>
            </w:r>
          </w:p>
        </w:tc>
      </w:tr>
    </w:tbl>
    <w:p>
      <w:pPr>
        <w:pStyle w:val="BodyText"/>
      </w:pPr>
      <w:r>
        <w:t xml:space="preserve">All amounts are expressed in Iranian Rials (IRR) and are subject to the prevailing exchange-rate regulations of the Central Bank of the Islamic Republic of Iran at the time of payment.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Value Added Tax (VAT), as academic and research services rendered within</w:t>
      </w:r>
      <w:r>
        <w:t xml:space="preserve"> </w:t>
      </w:r>
      <w:r>
        <w:t xml:space="preserve">Iran Tehran</w:t>
      </w:r>
      <w:r>
        <w:t xml:space="preserve"> </w:t>
      </w:r>
      <w:r>
        <w:t xml:space="preserve">are exempt under Article 32 of the Iranian VAT Law.</w:t>
      </w:r>
    </w:p>
    <w:bookmarkEnd w:id="23"/>
    <w:bookmarkStart w:id="24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and conditions are subject to revision without prior notice.</w:t>
      </w:r>
    </w:p>
    <w:p>
      <w:pPr>
        <w:numPr>
          <w:ilvl w:val="0"/>
          <w:numId w:val="1002"/>
        </w:numPr>
        <w:pStyle w:val="Compact"/>
      </w:pPr>
      <w:r>
        <w:t xml:space="preserve">Payment shall be made in four (4) equal quarterly instalments, due on the 5th business day of each quarter, via bank transfer to the account designated by the</w:t>
      </w:r>
      <w:r>
        <w:t xml:space="preserve"> </w:t>
      </w:r>
      <w:r>
        <w:t xml:space="preserve">Professor</w:t>
      </w:r>
      <w:r>
        <w:t xml:space="preserve"> </w:t>
      </w:r>
      <w:r>
        <w:t xml:space="preserve">at a licensed Iranian financial institution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shall be required to maintain a minimum on-site presence of five (5) days per week at the INRC</w:t>
      </w:r>
      <w:r>
        <w:t xml:space="preserve"> </w:t>
      </w:r>
      <w:r>
        <w:t xml:space="preserve">Iran Tehran</w:t>
      </w:r>
      <w:r>
        <w:t xml:space="preserve"> </w:t>
      </w:r>
      <w:r>
        <w:t xml:space="preserve">campus, with the option of one (1) remote working day per week for research purposes.</w:t>
      </w:r>
    </w:p>
    <w:p>
      <w:pPr>
        <w:numPr>
          <w:ilvl w:val="0"/>
          <w:numId w:val="1002"/>
        </w:numPr>
        <w:pStyle w:val="Compact"/>
      </w:pPr>
      <w:r>
        <w:t xml:space="preserve">Any extension of the engagement beyond the initial twelve-month term shall require a separate, updated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 between both parties.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shall comply with all academic integrity policies, data-privacy regulations, and institutional bylaws of the Iranian National Research Council as applicable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during the course of this engagement shall be jointly owned by the</w:t>
      </w:r>
      <w:r>
        <w:t xml:space="preserve"> </w:t>
      </w:r>
      <w:r>
        <w:t xml:space="preserve">Professor</w:t>
      </w:r>
      <w:r>
        <w:t xml:space="preserve"> </w:t>
      </w:r>
      <w:r>
        <w:t xml:space="preserve">and the INRC, with publication rights governed by a separate IP agreement to be executed prior to the commencement of services.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employment or consultancy agreement, drafted in accordance with Iranian labour and academic law, must be executed before any services commence.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agreement shall be resolved through the academic arbitration board of the Ministry of Science, Research and Technology of the Islamic Republic of Iran, seated in</w:t>
      </w:r>
      <w:r>
        <w:t xml:space="preserve"> </w:t>
      </w:r>
      <w:r>
        <w:t xml:space="preserve">Iran Tehran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authorized representative of the Iranian National Research Council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that the terms, conditions, and cost breakdown pertaining to the engagement of 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Iran Tehran</w:t>
      </w:r>
      <w:r>
        <w:t xml:space="preserve"> </w:t>
      </w:r>
      <w:r>
        <w:t xml:space="preserve">have been reviewed and are acceptable for the purpose of initiating the formal contracting process.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Dr. Mohammad Reza Karimi</w:t>
      </w:r>
      <w:r>
        <w:br/>
      </w:r>
      <w:r>
        <w:t xml:space="preserve">Director of Academic Affairs</w:t>
      </w:r>
      <w:r>
        <w:br/>
      </w:r>
      <w:r>
        <w:t xml:space="preserve">Alborz Higher Education Consortium</w:t>
      </w:r>
      <w:r>
        <w:br/>
      </w:r>
      <w:r>
        <w:t xml:space="preserve">Tehran, Iran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by:</w:t>
      </w:r>
      <w:r>
        <w:br/>
      </w:r>
      <w:r>
        <w:t xml:space="preserve">___________________________</w:t>
      </w:r>
      <w:r>
        <w:br/>
      </w:r>
      <w:r>
        <w:t xml:space="preserve">Authorized Representative</w:t>
      </w:r>
      <w:r>
        <w:br/>
      </w:r>
      <w:r>
        <w:t xml:space="preserve">Iranian National Research Council (INRC)</w:t>
      </w:r>
      <w:r>
        <w:br/>
      </w:r>
      <w:r>
        <w:t xml:space="preserve">Valiasr Street, Tehran, Iran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QTE-IRN-THR-2025-0472 — Page 1 of 1</w:t>
      </w:r>
    </w:p>
    <w:p>
      <w:pPr>
        <w:pStyle w:val="BodyText"/>
      </w:pPr>
      <w:r>
        <w:t xml:space="preserve">This document is issued exclusively for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engagement process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 </w:t>
      </w:r>
      <w:r>
        <w:t xml:space="preserve">and shall not be reproduced or distributed without the written consent of the issuing institution.</w:t>
      </w:r>
    </w:p>
    <w:p>
      <w:pPr>
        <w:pStyle w:val="BodyText"/>
      </w:pPr>
      <w:r>
        <w:t xml:space="preserve">© 2025 Alborz Higher Education Consortium, Tehran, Islamic Republic of Iran.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Professor Services - Iran Tehran</dc:title>
  <dc:creator/>
  <dc:language>en</dc:language>
  <cp:keywords/>
  <dcterms:created xsi:type="dcterms:W3CDTF">2026-10-10T05:03:15Z</dcterms:created>
  <dcterms:modified xsi:type="dcterms:W3CDTF">2026-10-10T05:03:15Z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