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Academic Services — Professor Engagement in Israel Jerusalem</w:t>
      </w:r>
    </w:p>
    <w:p>
      <w:pPr>
        <w:pStyle w:val="BodyText"/>
      </w:pPr>
      <w:r>
        <w:t xml:space="preserve">Document Reference No.: QE-JER-2025-0047</w:t>
      </w:r>
    </w:p>
    <w:bookmarkEnd w:id="20"/>
    <w:p>
      <w:pPr>
        <w:pStyle w:val="BodyText"/>
      </w:pPr>
      <w:r>
        <w:t xml:space="preserve">Date of Issue:</w:t>
      </w:r>
    </w:p>
    <w:p>
      <w:pPr>
        <w:pStyle w:val="BodyText"/>
      </w:pPr>
      <w:r>
        <w:t xml:space="preserve">15 June 2025</w:t>
      </w:r>
    </w:p>
    <w:p>
      <w:pPr>
        <w:pStyle w:val="BodyText"/>
      </w:pPr>
      <w:r>
        <w:t xml:space="preserve">Valid Until:</w:t>
      </w:r>
    </w:p>
    <w:p>
      <w:pPr>
        <w:pStyle w:val="BodyText"/>
      </w:pPr>
      <w:r>
        <w:t xml:space="preserve">15 September 2025</w:t>
      </w:r>
    </w:p>
    <w:p>
      <w:pPr>
        <w:pStyle w:val="BodyText"/>
      </w:pPr>
      <w:r>
        <w:t xml:space="preserve">Prepared For:</w:t>
      </w:r>
    </w:p>
    <w:p>
      <w:pPr>
        <w:pStyle w:val="BodyText"/>
      </w:pPr>
      <w:r>
        <w:t xml:space="preserve">Hebrew University of Jerusalem</w:t>
      </w:r>
    </w:p>
    <w:p>
      <w:pPr>
        <w:pStyle w:val="BodyText"/>
      </w:pPr>
      <w:r>
        <w:t xml:space="preserve">Mount Scopus Campus</w:t>
      </w:r>
    </w:p>
    <w:p>
      <w:pPr>
        <w:pStyle w:val="BodyText"/>
      </w:pPr>
      <w:r>
        <w:t xml:space="preserve">Jerusalem, Israel 91905</w:t>
      </w:r>
    </w:p>
    <w:p>
      <w:pPr>
        <w:pStyle w:val="BodyText"/>
      </w:pPr>
      <w:r>
        <w:t xml:space="preserve">Prepared By:</w:t>
      </w:r>
    </w:p>
    <w:p>
      <w:pPr>
        <w:pStyle w:val="BodyText"/>
      </w:pPr>
      <w:r>
        <w:t xml:space="preserve">Office of Academic Affairs</w:t>
      </w:r>
    </w:p>
    <w:p>
      <w:pPr>
        <w:pStyle w:val="BodyText"/>
      </w:pPr>
      <w:r>
        <w:t xml:space="preserve">Faculty of Humanities &amp; Sciences</w:t>
      </w:r>
    </w:p>
    <w:p>
      <w:pPr>
        <w:pStyle w:val="BodyText"/>
      </w:pPr>
      <w:r>
        <w:t xml:space="preserve">Israel Jerusalem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formally prepared to outline the comprehensive financial and logistical provisions required for the engagement of a</w:t>
      </w:r>
      <w:r>
        <w:t xml:space="preserve"> </w:t>
      </w:r>
      <w:r>
        <w:t xml:space="preserve">Professor</w:t>
      </w:r>
      <w:r>
        <w:t xml:space="preserve"> </w:t>
      </w:r>
      <w:r>
        <w:t xml:space="preserve">in the delivery of advanced academic services within the jurisdiction of</w:t>
      </w:r>
      <w:r>
        <w:t xml:space="preserve"> </w:t>
      </w:r>
      <w:r>
        <w:t xml:space="preserve">Israel Jerusalem</w:t>
      </w:r>
      <w:r>
        <w:t xml:space="preserve">. The present estimate encompasses all anticipated costs associated with the Professor's professional tenure, including compensation, travel, accommodation, research support, and institutional overheads. This Quotation Estimate is issued in accordance with the academic procurement regulations of the State of Israel and the internal financial policies governing the engagement of senior academic personnel in Jerusalem.</w:t>
      </w:r>
    </w:p>
    <w:bookmarkEnd w:id="21"/>
    <w:bookmarkStart w:id="22" w:name="scope-of-professor-services"/>
    <w:p>
      <w:pPr>
        <w:pStyle w:val="Heading2"/>
      </w:pPr>
      <w:r>
        <w:t xml:space="preserve">2. Scope of Professor Services</w:t>
      </w:r>
    </w:p>
    <w:p>
      <w:pPr>
        <w:pStyle w:val="FirstParagraph"/>
      </w:pPr>
      <w:r>
        <w:t xml:space="preserve">The</w:t>
      </w:r>
      <w:r>
        <w:t xml:space="preserve"> </w:t>
      </w:r>
      <w:r>
        <w:t xml:space="preserve">Professor</w:t>
      </w:r>
      <w:r>
        <w:t xml:space="preserve"> </w:t>
      </w:r>
      <w:r>
        <w:t xml:space="preserve">engaged under this Quotation Estimate shall provide the following professional services in</w:t>
      </w:r>
      <w:r>
        <w:t xml:space="preserve"> </w:t>
      </w:r>
      <w:r>
        <w:t xml:space="preserve">Israel Jerusalem</w:t>
      </w:r>
      <w:r>
        <w:t xml:space="preserve">:</w:t>
      </w:r>
    </w:p>
    <w:p>
      <w:pPr>
        <w:numPr>
          <w:ilvl w:val="0"/>
          <w:numId w:val="1001"/>
        </w:numPr>
        <w:pStyle w:val="Compact"/>
      </w:pPr>
      <w:r>
        <w:t xml:space="preserve">Delivery of a minimum of 120 contact hours of graduate-level lectures per academic semester in the Department of Near Eastern Studies.</w:t>
      </w:r>
    </w:p>
    <w:p>
      <w:pPr>
        <w:numPr>
          <w:ilvl w:val="0"/>
          <w:numId w:val="1001"/>
        </w:numPr>
        <w:pStyle w:val="Compact"/>
      </w:pPr>
      <w:r>
        <w:t xml:space="preserve">Supervision of no fewer than eight (8) doctoral candidates, including weekly one-on-one advisory sessions conducted at the Professor's designated office on the Mount Scopus campus.</w:t>
      </w:r>
    </w:p>
    <w:p>
      <w:pPr>
        <w:numPr>
          <w:ilvl w:val="0"/>
          <w:numId w:val="1001"/>
        </w:numPr>
        <w:pStyle w:val="Compact"/>
      </w:pPr>
      <w:r>
        <w:t xml:space="preserve">Participation in at least four (4) inter-university academic conferences hosted within the greater Israel Jerusalem metropolitan area during the contract period.</w:t>
      </w:r>
    </w:p>
    <w:p>
      <w:pPr>
        <w:numPr>
          <w:ilvl w:val="0"/>
          <w:numId w:val="1001"/>
        </w:numPr>
        <w:pStyle w:val="Compact"/>
      </w:pPr>
      <w:r>
        <w:t xml:space="preserve">Authorship and peer review of a minimum of three (3) scholarly publications in internationally recognized journals, with institutional affiliation to the host university in Israel Jerusalem.</w:t>
      </w:r>
    </w:p>
    <w:p>
      <w:pPr>
        <w:numPr>
          <w:ilvl w:val="0"/>
          <w:numId w:val="1001"/>
        </w:numPr>
        <w:pStyle w:val="Compact"/>
      </w:pPr>
      <w:r>
        <w:t xml:space="preserve">Contribution to the design and implementation of a new interdisciplinary research program in collaboration with the Hebrew University's Institute of Archaeology and the Israel Antiquities Authority.</w:t>
      </w:r>
    </w:p>
    <w:p>
      <w:pPr>
        <w:numPr>
          <w:ilvl w:val="0"/>
          <w:numId w:val="1001"/>
        </w:numPr>
        <w:pStyle w:val="Compact"/>
      </w:pPr>
      <w:r>
        <w:t xml:space="preserve">Mentorship of junior faculty members and postdoctoral researchers as part of the university's academic development initiative in Israel Jerusalem.</w:t>
      </w:r>
    </w:p>
    <w:bookmarkEnd w:id="22"/>
    <w:bookmarkStart w:id="23" w:name="financial-breakdown"/>
    <w:p>
      <w:pPr>
        <w:pStyle w:val="Heading2"/>
      </w:pPr>
      <w:r>
        <w:t xml:space="preserve">3. Financial Breakdown</w:t>
      </w:r>
    </w:p>
    <w:p>
      <w:pPr>
        <w:pStyle w:val="FirstParagraph"/>
      </w:pPr>
      <w:r>
        <w:t xml:space="preserve">The following table presents the itemized cost structure for this</w:t>
      </w:r>
      <w:r>
        <w:t xml:space="preserve"> </w:t>
      </w:r>
      <w:r>
        <w:t xml:space="preserve">Quotation Estimate</w:t>
      </w:r>
      <w:r>
        <w:t xml:space="preserve"> </w:t>
      </w:r>
      <w:r>
        <w:t xml:space="preserve">relating to the Professor's engagement in Israel Jerusalem. All monetary values are expressed in New Israeli Shekels (NIS / ILS)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w:t>
            </w:r>
          </w:p>
        </w:tc>
        <w:tc>
          <w:tcPr/>
          <w:p>
            <w:pPr>
              <w:pStyle w:val="Compact"/>
              <w:jc w:val="left"/>
            </w:pPr>
            <w:r>
              <w:t xml:space="preserve">Duration / Quantity</w:t>
            </w:r>
          </w:p>
        </w:tc>
        <w:tc>
          <w:tcPr/>
          <w:p>
            <w:pPr>
              <w:pStyle w:val="Compact"/>
              <w:jc w:val="left"/>
            </w:pPr>
            <w:r>
              <w:t xml:space="preserve">Unit Cost (NIS)</w:t>
            </w:r>
          </w:p>
        </w:tc>
        <w:tc>
          <w:tcPr/>
          <w:p>
            <w:pPr>
              <w:pStyle w:val="Compact"/>
              <w:jc w:val="left"/>
            </w:pPr>
            <w:r>
              <w:t xml:space="preserve">Total (NIS)</w:t>
            </w:r>
          </w:p>
        </w:tc>
      </w:tr>
      <w:tr>
        <w:tc>
          <w:tcPr/>
          <w:p>
            <w:pPr>
              <w:pStyle w:val="Compact"/>
              <w:jc w:val="left"/>
            </w:pPr>
            <w:r>
              <w:t xml:space="preserve">1</w:t>
            </w:r>
          </w:p>
        </w:tc>
        <w:tc>
          <w:tcPr/>
          <w:p>
            <w:pPr>
              <w:pStyle w:val="Compact"/>
              <w:jc w:val="left"/>
            </w:pPr>
            <w:r>
              <w:t xml:space="preserve">Annual base salary for the Professor (senior academic rank)</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2</w:t>
            </w:r>
          </w:p>
        </w:tc>
        <w:tc>
          <w:tcPr/>
          <w:p>
            <w:pPr>
              <w:pStyle w:val="Compact"/>
              <w:jc w:val="left"/>
            </w:pPr>
            <w:r>
              <w:t xml:space="preserve">Research grant stipend for the Professor's ongoing projects</w:t>
            </w:r>
          </w:p>
        </w:tc>
        <w:tc>
          <w:tcPr/>
          <w:p>
            <w:pPr>
              <w:pStyle w:val="Compact"/>
              <w:jc w:val="left"/>
            </w:pPr>
            <w:r>
              <w:t xml:space="preserve">12 months</w:t>
            </w:r>
          </w:p>
        </w:tc>
        <w:tc>
          <w:tcPr/>
          <w:p>
            <w:pPr>
              <w:pStyle w:val="Compact"/>
              <w:jc w:val="left"/>
            </w:pPr>
            <w:r>
              <w:t xml:space="preserve">6,200</w:t>
            </w:r>
          </w:p>
        </w:tc>
        <w:tc>
          <w:tcPr/>
          <w:p>
            <w:pPr>
              <w:pStyle w:val="Compact"/>
              <w:jc w:val="left"/>
            </w:pPr>
            <w:r>
              <w:t xml:space="preserve">74,400</w:t>
            </w:r>
          </w:p>
        </w:tc>
      </w:tr>
      <w:tr>
        <w:tc>
          <w:tcPr/>
          <w:p>
            <w:pPr>
              <w:pStyle w:val="Compact"/>
              <w:jc w:val="left"/>
            </w:pPr>
            <w:r>
              <w:t xml:space="preserve">3</w:t>
            </w:r>
          </w:p>
        </w:tc>
        <w:tc>
          <w:tcPr/>
          <w:p>
            <w:pPr>
              <w:pStyle w:val="Compact"/>
              <w:jc w:val="left"/>
            </w:pPr>
            <w:r>
              <w:t xml:space="preserve">International travel and relocation (round-trip airfare, visa processing, customs clearance)</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18,750</w:t>
            </w:r>
          </w:p>
        </w:tc>
      </w:tr>
      <w:tr>
        <w:tc>
          <w:tcPr/>
          <w:p>
            <w:pPr>
              <w:pStyle w:val="Compact"/>
              <w:jc w:val="left"/>
            </w:pPr>
            <w:r>
              <w:t xml:space="preserve">4</w:t>
            </w:r>
          </w:p>
        </w:tc>
        <w:tc>
          <w:tcPr/>
          <w:p>
            <w:pPr>
              <w:pStyle w:val="Compact"/>
              <w:jc w:val="left"/>
            </w:pPr>
            <w:r>
              <w:t xml:space="preserve">Accommodation allowance (furnished apartment, Givat Ram district, Israel Jerusalem)</w:t>
            </w:r>
          </w:p>
        </w:tc>
        <w:tc>
          <w:tcPr/>
          <w:p>
            <w:pPr>
              <w:pStyle w:val="Compact"/>
              <w:jc w:val="left"/>
            </w:pPr>
            <w:r>
              <w:t xml:space="preserve">12 months</w:t>
            </w:r>
          </w:p>
        </w:tc>
        <w:tc>
          <w:tcPr/>
          <w:p>
            <w:pPr>
              <w:pStyle w:val="Compact"/>
              <w:jc w:val="left"/>
            </w:pPr>
            <w:r>
              <w:t xml:space="preserve">7,800</w:t>
            </w:r>
          </w:p>
        </w:tc>
        <w:tc>
          <w:tcPr/>
          <w:p>
            <w:pPr>
              <w:pStyle w:val="Compact"/>
              <w:jc w:val="left"/>
            </w:pPr>
            <w:r>
              <w:t xml:space="preserve">93,600</w:t>
            </w:r>
          </w:p>
        </w:tc>
      </w:tr>
      <w:tr>
        <w:tc>
          <w:tcPr/>
          <w:p>
            <w:pPr>
              <w:pStyle w:val="Compact"/>
              <w:jc w:val="left"/>
            </w:pPr>
            <w:r>
              <w:t xml:space="preserve">5</w:t>
            </w:r>
          </w:p>
        </w:tc>
        <w:tc>
          <w:tcPr/>
          <w:p>
            <w:pPr>
              <w:pStyle w:val="Compact"/>
              <w:jc w:val="left"/>
            </w:pPr>
            <w:r>
              <w:t xml:space="preserve">Local transportation and commuting within Israel Jerusalem</w:t>
            </w:r>
          </w:p>
        </w:tc>
        <w:tc>
          <w:tcPr/>
          <w:p>
            <w:pPr>
              <w:pStyle w:val="Compact"/>
              <w:jc w:val="left"/>
            </w:pPr>
            <w:r>
              <w:t xml:space="preserve">12 months</w:t>
            </w:r>
          </w:p>
        </w:tc>
        <w:tc>
          <w:tcPr/>
          <w:p>
            <w:pPr>
              <w:pStyle w:val="Compact"/>
              <w:jc w:val="left"/>
            </w:pPr>
            <w:r>
              <w:t xml:space="preserve">1,450</w:t>
            </w:r>
          </w:p>
        </w:tc>
        <w:tc>
          <w:tcPr/>
          <w:p>
            <w:pPr>
              <w:pStyle w:val="Compact"/>
              <w:jc w:val="left"/>
            </w:pPr>
            <w:r>
              <w:t xml:space="preserve">17,400</w:t>
            </w:r>
          </w:p>
        </w:tc>
      </w:tr>
      <w:tr>
        <w:tc>
          <w:tcPr/>
          <w:p>
            <w:pPr>
              <w:pStyle w:val="Compact"/>
              <w:jc w:val="left"/>
            </w:pPr>
            <w:r>
              <w:t xml:space="preserve">6</w:t>
            </w:r>
          </w:p>
        </w:tc>
        <w:tc>
          <w:tcPr/>
          <w:p>
            <w:pPr>
              <w:pStyle w:val="Compact"/>
              <w:jc w:val="left"/>
            </w:pPr>
            <w:r>
              <w:t xml:space="preserve">Conference participation fees and registration (4 events in Israel Jerusalem)</w:t>
            </w:r>
          </w:p>
        </w:tc>
        <w:tc>
          <w:tcPr/>
          <w:p>
            <w:pPr>
              <w:pStyle w:val="Compact"/>
              <w:jc w:val="left"/>
            </w:pPr>
            <w:r>
              <w:t xml:space="preserve">4 events</w:t>
            </w:r>
          </w:p>
        </w:tc>
        <w:tc>
          <w:tcPr/>
          <w:p>
            <w:pPr>
              <w:pStyle w:val="Compact"/>
              <w:jc w:val="left"/>
            </w:pPr>
            <w:r>
              <w:t xml:space="preserve">3,200</w:t>
            </w:r>
          </w:p>
        </w:tc>
        <w:tc>
          <w:tcPr/>
          <w:p>
            <w:pPr>
              <w:pStyle w:val="Compact"/>
              <w:jc w:val="left"/>
            </w:pPr>
            <w:r>
              <w:t xml:space="preserve">12,800</w:t>
            </w:r>
          </w:p>
        </w:tc>
      </w:tr>
      <w:tr>
        <w:tc>
          <w:tcPr/>
          <w:p>
            <w:pPr>
              <w:pStyle w:val="Compact"/>
              <w:jc w:val="left"/>
            </w:pPr>
            <w:r>
              <w:t xml:space="preserve">7</w:t>
            </w:r>
          </w:p>
        </w:tc>
        <w:tc>
          <w:tcPr/>
          <w:p>
            <w:pPr>
              <w:pStyle w:val="Compact"/>
              <w:jc w:val="left"/>
            </w:pPr>
            <w:r>
              <w:t xml:space="preserve">Research materials, laboratory access, and archival fees (Israel Antiquities Authority)</w:t>
            </w:r>
          </w:p>
        </w:tc>
        <w:tc>
          <w:tcPr/>
          <w:p>
            <w:pPr>
              <w:pStyle w:val="Compact"/>
              <w:jc w:val="left"/>
            </w:pPr>
            <w:r>
              <w:t xml:space="preserve">12 months</w:t>
            </w:r>
          </w:p>
        </w:tc>
        <w:tc>
          <w:tcPr/>
          <w:p>
            <w:pPr>
              <w:pStyle w:val="Compact"/>
              <w:jc w:val="left"/>
            </w:pPr>
            <w:r>
              <w:t xml:space="preserve">4,100</w:t>
            </w:r>
          </w:p>
        </w:tc>
        <w:tc>
          <w:tcPr/>
          <w:p>
            <w:pPr>
              <w:pStyle w:val="Compact"/>
              <w:jc w:val="left"/>
            </w:pPr>
            <w:r>
              <w:t xml:space="preserve">49,200</w:t>
            </w:r>
          </w:p>
        </w:tc>
      </w:tr>
      <w:tr>
        <w:tc>
          <w:tcPr/>
          <w:p>
            <w:pPr>
              <w:pStyle w:val="Compact"/>
              <w:jc w:val="left"/>
            </w:pPr>
            <w:r>
              <w:t xml:space="preserve">8</w:t>
            </w:r>
          </w:p>
        </w:tc>
        <w:tc>
          <w:tcPr/>
          <w:p>
            <w:pPr>
              <w:pStyle w:val="Compact"/>
              <w:jc w:val="left"/>
            </w:pPr>
            <w:r>
              <w:t xml:space="preserve">Health insurance and medical coverage (HMO enrollment, Israel Jerusalem)</w:t>
            </w:r>
          </w:p>
        </w:tc>
        <w:tc>
          <w:tcPr/>
          <w:p>
            <w:pPr>
              <w:pStyle w:val="Compact"/>
              <w:jc w:val="left"/>
            </w:pPr>
            <w:r>
              <w:t xml:space="preserve">12 months</w:t>
            </w:r>
          </w:p>
        </w:tc>
        <w:tc>
          <w:tcPr/>
          <w:p>
            <w:pPr>
              <w:pStyle w:val="Compact"/>
              <w:jc w:val="left"/>
            </w:pPr>
            <w:r>
              <w:t xml:space="preserve">2,300</w:t>
            </w:r>
          </w:p>
        </w:tc>
        <w:tc>
          <w:tcPr/>
          <w:p>
            <w:pPr>
              <w:pStyle w:val="Compact"/>
              <w:jc w:val="left"/>
            </w:pPr>
            <w:r>
              <w:t xml:space="preserve">27,600</w:t>
            </w:r>
          </w:p>
        </w:tc>
      </w:tr>
      <w:tr>
        <w:tc>
          <w:tcPr/>
          <w:p>
            <w:pPr>
              <w:pStyle w:val="Compact"/>
              <w:jc w:val="left"/>
            </w:pPr>
            <w:r>
              <w:t xml:space="preserve">9</w:t>
            </w:r>
          </w:p>
        </w:tc>
        <w:tc>
          <w:tcPr/>
          <w:p>
            <w:pPr>
              <w:pStyle w:val="Compact"/>
              <w:jc w:val="left"/>
            </w:pPr>
            <w:r>
              <w:t xml:space="preserve">Administrative and institutional overhead (office space, utilities, IT infrastructure)</w:t>
            </w:r>
          </w:p>
        </w:tc>
        <w:tc>
          <w:tcPr/>
          <w:p>
            <w:pPr>
              <w:pStyle w:val="Compact"/>
              <w:jc w:val="left"/>
            </w:pPr>
            <w:r>
              <w:t xml:space="preserve">12 months</w:t>
            </w:r>
          </w:p>
        </w:tc>
        <w:tc>
          <w:tcPr/>
          <w:p>
            <w:pPr>
              <w:pStyle w:val="Compact"/>
              <w:jc w:val="left"/>
            </w:pPr>
            <w:r>
              <w:t xml:space="preserve">3,500</w:t>
            </w:r>
          </w:p>
        </w:tc>
        <w:tc>
          <w:tcPr/>
          <w:p>
            <w:pPr>
              <w:pStyle w:val="Compact"/>
              <w:jc w:val="left"/>
            </w:pPr>
            <w:r>
              <w:t xml:space="preserve">42,000</w:t>
            </w:r>
          </w:p>
        </w:tc>
      </w:tr>
      <w:tr>
        <w:tc>
          <w:tcPr/>
          <w:p>
            <w:pPr>
              <w:pStyle w:val="Compact"/>
              <w:jc w:val="left"/>
            </w:pPr>
            <w:r>
              <w:t xml:space="preserve">10</w:t>
            </w:r>
          </w:p>
        </w:tc>
        <w:tc>
          <w:tcPr/>
          <w:p>
            <w:pPr>
              <w:pStyle w:val="Compact"/>
              <w:jc w:val="left"/>
            </w:pPr>
            <w:r>
              <w:t xml:space="preserve">Contingency reserve (estimated 5% of total)</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26,325</w:t>
            </w:r>
          </w:p>
        </w:tc>
      </w:tr>
      <w:tr>
        <w:tc>
          <w:tcPr>
            <w:gridSpan w:val="4"/>
          </w:tcPr>
          <w:p>
            <w:pPr>
              <w:pStyle w:val="Compact"/>
              <w:jc w:val="left"/>
            </w:pPr>
            <w:r>
              <w:t xml:space="preserve">GRAND TOTAL — Quotation Estimate for Professor Engagement, Israel Jerusalem</w:t>
            </w:r>
          </w:p>
        </w:tc>
        <w:tc>
          <w:tcPr/>
          <w:p>
            <w:pPr>
              <w:pStyle w:val="Compact"/>
              <w:jc w:val="left"/>
            </w:pPr>
            <w:r>
              <w:t xml:space="preserve">684,075</w:t>
            </w:r>
          </w:p>
        </w:tc>
      </w:tr>
    </w:tbl>
    <w:bookmarkEnd w:id="23"/>
    <w:bookmarkStart w:id="24" w:name="terms-and-conditions"/>
    <w:p>
      <w:pPr>
        <w:pStyle w:val="Heading2"/>
      </w:pPr>
      <w:r>
        <w:t xml:space="preserve">4. Terms and Conditions</w:t>
      </w:r>
    </w:p>
    <w:p>
      <w:pPr>
        <w:pStyle w:val="FirstParagraph"/>
      </w:pPr>
      <w:r>
        <w:t xml:space="preserve">This</w:t>
      </w:r>
      <w:r>
        <w:t xml:space="preserve"> </w:t>
      </w:r>
      <w:r>
        <w:t xml:space="preserve">Quotation Estimate</w:t>
      </w:r>
      <w:r>
        <w:t xml:space="preserve"> </w:t>
      </w:r>
      <w:r>
        <w:t xml:space="preserve">is subject to the following binding terms, which govern the engagement of the</w:t>
      </w:r>
      <w:r>
        <w:t xml:space="preserve"> </w:t>
      </w:r>
      <w:r>
        <w:t xml:space="preserve">Professor</w:t>
      </w:r>
      <w:r>
        <w:t xml:space="preserve"> </w:t>
      </w:r>
      <w:r>
        <w:t xml:space="preserve">in</w:t>
      </w:r>
      <w:r>
        <w:t xml:space="preserve"> </w:t>
      </w:r>
      <w:r>
        <w:t xml:space="preserve">Israel Jerusalem</w:t>
      </w:r>
      <w:r>
        <w:t xml:space="preserve">:</w:t>
      </w:r>
    </w:p>
    <w:p>
      <w:pPr>
        <w:numPr>
          <w:ilvl w:val="0"/>
          <w:numId w:val="1002"/>
        </w:numPr>
        <w:pStyle w:val="Compact"/>
      </w:pPr>
      <w:r>
        <w:t xml:space="preserve">This Quotation Estimate shall remain valid for a period of ninety (90) calendar days from the date of issue. Beyond this period, all figures are subject to revision based on prevailing economic conditions in Israel Jerusalem.</w:t>
      </w:r>
    </w:p>
    <w:p>
      <w:pPr>
        <w:numPr>
          <w:ilvl w:val="0"/>
          <w:numId w:val="1002"/>
        </w:numPr>
        <w:pStyle w:val="Compact"/>
      </w:pPr>
      <w:r>
        <w:t xml:space="preserve">Payment shall be disbursed on a monthly basis via direct bank transfer to the Professor's designated account, with the first installment due within fifteen (15) business days of contract execution.</w:t>
      </w:r>
    </w:p>
    <w:p>
      <w:pPr>
        <w:numPr>
          <w:ilvl w:val="0"/>
          <w:numId w:val="1002"/>
        </w:numPr>
        <w:pStyle w:val="Compact"/>
      </w:pPr>
      <w:r>
        <w:t xml:space="preserve">The Professor's engagement is contingent upon the successful completion of all necessary immigration and work-permit procedures as mandated by the Israel Population and Immigration Authority.</w:t>
      </w:r>
    </w:p>
    <w:p>
      <w:pPr>
        <w:numPr>
          <w:ilvl w:val="0"/>
          <w:numId w:val="1002"/>
        </w:numPr>
        <w:pStyle w:val="Compact"/>
      </w:pPr>
      <w:r>
        <w:t xml:space="preserve">Any change in the scope of services, extension of the contract period, or modification of the Professor's academic responsibilities must be documented in a formal amendment to this Quotation Estimate, signed by both parties.</w:t>
      </w:r>
    </w:p>
    <w:p>
      <w:pPr>
        <w:numPr>
          <w:ilvl w:val="0"/>
          <w:numId w:val="1002"/>
        </w:numPr>
        <w:pStyle w:val="Compact"/>
      </w:pPr>
      <w:r>
        <w:t xml:space="preserve">All intellectual property produced by the Professor during the tenure of this engagement in Israel Jerusalem shall be jointly owned by the Professor and the host institution, in accordance with Israeli academic law.</w:t>
      </w:r>
    </w:p>
    <w:p>
      <w:pPr>
        <w:numPr>
          <w:ilvl w:val="0"/>
          <w:numId w:val="1002"/>
        </w:numPr>
        <w:pStyle w:val="Compact"/>
      </w:pPr>
      <w:r>
        <w:t xml:space="preserve">This Quotation Estimate does not constitute a binding contract until countersigned by an authorized representative of the receiving institution in Israel Jerusalem.</w:t>
      </w:r>
    </w:p>
    <w:bookmarkEnd w:id="24"/>
    <w:bookmarkStart w:id="25" w:name="additional-notes"/>
    <w:p>
      <w:pPr>
        <w:pStyle w:val="Heading2"/>
      </w:pPr>
      <w:r>
        <w:t xml:space="preserve">5. Additional Notes</w:t>
      </w:r>
    </w:p>
    <w:p>
      <w:pPr>
        <w:pStyle w:val="FirstParagraph"/>
      </w:pPr>
      <w:r>
        <w:rPr>
          <w:bCs/>
          <w:b/>
        </w:rPr>
        <w:t xml:space="preserve">Note 1:</w:t>
      </w:r>
      <w:r>
        <w:t xml:space="preserve"> </w:t>
      </w:r>
      <w:r>
        <w:t xml:space="preserve">The accommodation allowance specified in this Quotation Estimate reflects current market rates for furnished residential properties in the Givat Ram and Talpiot neighborhoods of Israel Jerusalem. Should the Professor require housing in a different district, a supplemental estimate will be provided.</w:t>
      </w:r>
    </w:p>
    <w:p>
      <w:pPr>
        <w:pStyle w:val="BodyText"/>
      </w:pPr>
      <w:r>
        <w:rPr>
          <w:bCs/>
          <w:b/>
        </w:rPr>
        <w:t xml:space="preserve">Note 2:</w:t>
      </w:r>
      <w:r>
        <w:t xml:space="preserve"> </w:t>
      </w:r>
      <w:r>
        <w:t xml:space="preserve">The research grant stipend is allocated from the university's internal endowment fund and is separate from any external grants the Professor may secure independently during the engagement period in Israel Jerusalem.</w:t>
      </w:r>
    </w:p>
    <w:p>
      <w:pPr>
        <w:pStyle w:val="BodyText"/>
      </w:pPr>
      <w:r>
        <w:rPr>
          <w:bCs/>
          <w:b/>
        </w:rPr>
        <w:t xml:space="preserve">Note 3:</w:t>
      </w:r>
      <w:r>
        <w:t xml:space="preserve"> </w:t>
      </w:r>
      <w:r>
        <w:t xml:space="preserve">All tax obligations arising from the Professor's income in Israel Jerusalem shall be handled in accordance with the Israel Tax Authority regulations. The institution shall withhold applicable income tax at the source as required by law.</w:t>
      </w:r>
    </w:p>
    <w:p>
      <w:pPr>
        <w:pStyle w:val="BodyText"/>
      </w:pPr>
      <w:r>
        <w:t xml:space="preserve">Prepared and Issued By:</w:t>
      </w:r>
    </w:p>
    <w:p>
      <w:pPr>
        <w:pStyle w:val="BodyText"/>
      </w:pPr>
      <w:r>
        <w:t xml:space="preserve">Dr. Miriam Levi</w:t>
      </w:r>
    </w:p>
    <w:p>
      <w:pPr>
        <w:pStyle w:val="BodyText"/>
      </w:pPr>
      <w:r>
        <w:t xml:space="preserve">Director, Office of Academic Affairs</w:t>
      </w:r>
    </w:p>
    <w:p>
      <w:pPr>
        <w:pStyle w:val="BodyText"/>
      </w:pPr>
      <w:r>
        <w:t xml:space="preserve">Hebrew University of Jerusalem, Israel Jerusalem</w:t>
      </w:r>
    </w:p>
    <w:p>
      <w:pPr>
        <w:pStyle w:val="BodyText"/>
      </w:pPr>
      <w:r>
        <w:t xml:space="preserve">Acknowledged and Accepted By:</w:t>
      </w:r>
    </w:p>
    <w:p>
      <w:pPr>
        <w:pStyle w:val="BodyText"/>
      </w:pPr>
      <w:r>
        <w:t xml:space="preserve">Professor [Name to be inserted]</w:t>
      </w:r>
    </w:p>
    <w:p>
      <w:pPr>
        <w:pStyle w:val="BodyText"/>
      </w:pPr>
      <w:r>
        <w:t xml:space="preserve">Senior Academic, Department of Near Eastern Studies</w:t>
      </w:r>
    </w:p>
    <w:p>
      <w:pPr>
        <w:pStyle w:val="BodyText"/>
      </w:pPr>
      <w:r>
        <w:t xml:space="preserve">Israel Jerusalem</w:t>
      </w:r>
    </w:p>
    <w:p>
      <w:pPr>
        <w:pStyle w:val="BodyText"/>
      </w:pPr>
      <w:r>
        <w:t xml:space="preserve">This Quotation Estimate document was prepared exclusively for the engagement of a Professor in Israel Jerusalem. Unauthorized reproduction or distribution is prohibited.</w:t>
      </w:r>
    </w:p>
    <w:p>
      <w:pPr>
        <w:pStyle w:val="BodyText"/>
      </w:pPr>
      <w:r>
        <w:t xml:space="preserve">Document QE-JER-2025-0047 — Page 1 of 1 — Issued under the academic governance framework of the State of Israel.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Israel Jerusalem</dc:title>
  <dc:creator/>
  <dc:language>en</dc:language>
  <cp:keywords/>
  <dcterms:created xsi:type="dcterms:W3CDTF">2026-10-10T03:08:19Z</dcterms:created>
  <dcterms:modified xsi:type="dcterms:W3CDTF">2026-10-10T03:08:19Z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