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t xml:space="preserve">Tel Aviv, Israel</w:t>
      </w:r>
    </w:p>
    <w:bookmarkEnd w:id="20"/>
    <w:p>
      <w:pPr>
        <w:pStyle w:val="BodyText"/>
      </w:pPr>
      <w:r>
        <w:rPr>
          <w:bCs/>
          <w:b/>
        </w:rPr>
        <w:t xml:space="preserve">Quotation No.:</w:t>
      </w:r>
      <w:r>
        <w:t xml:space="preserve"> </w:t>
      </w:r>
      <w:r>
        <w:t xml:space="preserve">QTE-TLV-2025-0472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Academic Services Division</w:t>
      </w:r>
      <w:r>
        <w:br/>
      </w:r>
      <w:r>
        <w:rPr>
          <w:bCs/>
          <w:b/>
        </w:rPr>
        <w:t xml:space="preserve">Location:</w:t>
      </w:r>
      <w:r>
        <w:t xml:space="preserve"> </w:t>
      </w:r>
      <w:r>
        <w:t xml:space="preserve">Tel Aviv, Israel</w:t>
      </w:r>
      <w:r>
        <w:br/>
      </w:r>
      <w:r>
        <w:rPr>
          <w:bCs/>
          <w:b/>
        </w:rPr>
        <w:t xml:space="preserve">Reference:</w:t>
      </w:r>
      <w:r>
        <w:t xml:space="preserve"> </w:t>
      </w:r>
      <w:r>
        <w:t xml:space="preserve">Prof-Engagement-IL-2025</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Client (Requesting Party)</w:t>
            </w:r>
          </w:p>
        </w:tc>
        <w:tc>
          <w:tcPr/>
          <w:p>
            <w:pPr>
              <w:pStyle w:val="Compact"/>
              <w:jc w:val="left"/>
            </w:pPr>
            <w:r>
              <w:t xml:space="preserve">Tel Aviv Academic Consortium, 45 Allenby Street, Tel Aviv 6510102, Israel</w:t>
            </w:r>
          </w:p>
        </w:tc>
      </w:tr>
      <w:tr>
        <w:tc>
          <w:tcPr/>
          <w:p>
            <w:pPr>
              <w:pStyle w:val="Compact"/>
              <w:jc w:val="left"/>
            </w:pPr>
            <w:r>
              <w:rPr>
                <w:bCs/>
                <w:b/>
              </w:rPr>
              <w:t xml:space="preserve">Service Provider</w:t>
            </w:r>
          </w:p>
        </w:tc>
        <w:tc>
          <w:tcPr/>
          <w:p>
            <w:pPr>
              <w:pStyle w:val="Compact"/>
              <w:jc w:val="left"/>
            </w:pPr>
            <w:r>
              <w:t xml:space="preserve">Professor Daniel A. Rosenfeld, Ph.D., Department of Advanced Studies, Tel Aviv University, Ramat Aviv, Tel Aviv 6997801, Israel</w:t>
            </w:r>
          </w:p>
        </w:tc>
      </w:tr>
      <w:tr>
        <w:tc>
          <w:tcPr/>
          <w:p>
            <w:pPr>
              <w:pStyle w:val="Compact"/>
              <w:jc w:val="left"/>
            </w:pPr>
            <w:r>
              <w:rPr>
                <w:bCs/>
                <w:b/>
              </w:rPr>
              <w:t xml:space="preserve">Scope of Engagement</w:t>
            </w:r>
          </w:p>
        </w:tc>
        <w:tc>
          <w:tcPr/>
          <w:p>
            <w:pPr>
              <w:pStyle w:val="Compact"/>
              <w:jc w:val="left"/>
            </w:pPr>
            <w:r>
              <w:t xml:space="preserve">Full-time Professorial Academic Services — Research Supervision, Lecture Delivery, and Institutional Advisory</w:t>
            </w:r>
          </w:p>
        </w:tc>
      </w:tr>
    </w:tbl>
    <w:bookmarkEnd w:id="21"/>
    <w:bookmarkStart w:id="22" w:name="X12f196fb7c1d2e950df6cc984d0ff82da49606d"/>
    <w:p>
      <w:pPr>
        <w:pStyle w:val="Heading2"/>
      </w:pPr>
      <w:r>
        <w:t xml:space="preserve">2. Scope of Work — Professor Services in Tel Aviv, Israel</w:t>
      </w:r>
    </w:p>
    <w:p>
      <w:pPr>
        <w:pStyle w:val="FirstParagraph"/>
      </w:pPr>
      <w:r>
        <w:t xml:space="preserve">This Quotation Estimate outlines the comprehensive professional services to be rendered by</w:t>
      </w:r>
      <w:r>
        <w:t xml:space="preserve"> </w:t>
      </w:r>
      <w:r>
        <w:t xml:space="preserve">Professor Daniel A. Rosenfeld</w:t>
      </w:r>
      <w:r>
        <w:t xml:space="preserve"> </w:t>
      </w:r>
      <w:r>
        <w:t xml:space="preserve">in the capacity of a senior academic authority engaged by the Tel Aviv Academic Consortium. The Professor will be based in Tel Aviv, Israel, and will deliver the following services over a twelve-month engagement period commencing 1 September 2025:</w:t>
      </w:r>
    </w:p>
    <w:p>
      <w:pPr>
        <w:numPr>
          <w:ilvl w:val="0"/>
          <w:numId w:val="1001"/>
        </w:numPr>
        <w:pStyle w:val="Compact"/>
      </w:pPr>
      <w:r>
        <w:rPr>
          <w:bCs/>
          <w:b/>
        </w:rPr>
        <w:t xml:space="preserve">Lecture Delivery:</w:t>
      </w:r>
      <w:r>
        <w:t xml:space="preserve"> </w:t>
      </w:r>
      <w:r>
        <w:t xml:space="preserve">A minimum of 120 contact hours per academic year across three core modules in Applied Computational Science, delivered at the Consortium's primary campus in central Tel Aviv.</w:t>
      </w:r>
    </w:p>
    <w:p>
      <w:pPr>
        <w:numPr>
          <w:ilvl w:val="0"/>
          <w:numId w:val="1001"/>
        </w:numPr>
        <w:pStyle w:val="Compact"/>
      </w:pPr>
      <w:r>
        <w:rPr>
          <w:bCs/>
          <w:b/>
        </w:rPr>
        <w:t xml:space="preserve">Research Supervision:</w:t>
      </w:r>
      <w:r>
        <w:t xml:space="preserve"> </w:t>
      </w:r>
      <w:r>
        <w:t xml:space="preserve">Direct supervision of no fewer than eight (8) doctoral candidates and twelve (12) master's students, including weekly one-on-one meetings, thesis review, and guidance on publication strategies.</w:t>
      </w:r>
    </w:p>
    <w:p>
      <w:pPr>
        <w:numPr>
          <w:ilvl w:val="0"/>
          <w:numId w:val="1001"/>
        </w:numPr>
        <w:pStyle w:val="Compact"/>
      </w:pPr>
      <w:r>
        <w:rPr>
          <w:bCs/>
          <w:b/>
        </w:rPr>
        <w:t xml:space="preserve">Institutional Advisory:</w:t>
      </w:r>
      <w:r>
        <w:t xml:space="preserve"> </w:t>
      </w:r>
      <w:r>
        <w:t xml:space="preserve">Monthly advisory sessions with the Consortium's Academic Board, providing strategic direction on curriculum development, faculty recruitment, and international collaboration within the broader Israeli higher education landscape.</w:t>
      </w:r>
    </w:p>
    <w:p>
      <w:pPr>
        <w:numPr>
          <w:ilvl w:val="0"/>
          <w:numId w:val="1001"/>
        </w:numPr>
        <w:pStyle w:val="Compact"/>
      </w:pPr>
      <w:r>
        <w:rPr>
          <w:bCs/>
          <w:b/>
        </w:rPr>
        <w:t xml:space="preserve">Conference Participation:</w:t>
      </w:r>
      <w:r>
        <w:t xml:space="preserve"> </w:t>
      </w:r>
      <w:r>
        <w:t xml:space="preserve">Representation of the Consortium at a minimum of four (4) national and international academic conferences per year, with priority given to events held in Tel Aviv and across Israel.</w:t>
      </w:r>
    </w:p>
    <w:p>
      <w:pPr>
        <w:numPr>
          <w:ilvl w:val="0"/>
          <w:numId w:val="1001"/>
        </w:numPr>
        <w:pStyle w:val="Compact"/>
      </w:pPr>
      <w:r>
        <w:rPr>
          <w:bCs/>
          <w:b/>
        </w:rPr>
        <w:t xml:space="preserve">Grant Writing &amp; Funding:</w:t>
      </w:r>
      <w:r>
        <w:t xml:space="preserve"> </w:t>
      </w:r>
      <w:r>
        <w:t xml:space="preserve">Preparation and submission of at least two (2) competitive research grant proposals to the Israel Science Foundation (ISF) and the European Research Council (ERC) during the engagement period.</w:t>
      </w:r>
    </w:p>
    <w:p>
      <w:pPr>
        <w:numPr>
          <w:ilvl w:val="0"/>
          <w:numId w:val="1001"/>
        </w:numPr>
        <w:pStyle w:val="Compact"/>
      </w:pPr>
      <w:r>
        <w:rPr>
          <w:bCs/>
          <w:b/>
        </w:rPr>
        <w:t xml:space="preserve">Community Engagement:</w:t>
      </w:r>
      <w:r>
        <w:t xml:space="preserve"> </w:t>
      </w:r>
      <w:r>
        <w:t xml:space="preserve">Participation in public lectures, community education programs, and inter-university collaborations within the Tel Aviv metropolitan area and the broader Israeli academic network.</w:t>
      </w:r>
    </w:p>
    <w:bookmarkEnd w:id="22"/>
    <w:bookmarkStart w:id="23"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Professor Services</w:t>
            </w:r>
          </w:p>
        </w:tc>
        <w:tc>
          <w:tcPr/>
          <w:p>
            <w:pPr>
              <w:pStyle w:val="Compact"/>
              <w:jc w:val="left"/>
            </w:pPr>
            <w:r>
              <w:t xml:space="preserve">Duration / Quantity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01</w:t>
            </w:r>
          </w:p>
        </w:tc>
        <w:tc>
          <w:tcPr/>
          <w:p>
            <w:pPr>
              <w:pStyle w:val="Compact"/>
              <w:jc w:val="left"/>
            </w:pPr>
            <w:r>
              <w:t xml:space="preserve">Base Professorial Salary (monthly retainer for full-time academic engagement in Tel Aviv)</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Lecture Delivery &amp; Course Preparation (per contact hour, including syllabus design and assessment materials)</w:t>
            </w:r>
          </w:p>
        </w:tc>
        <w:tc>
          <w:tcPr/>
          <w:p>
            <w:pPr>
              <w:pStyle w:val="Compact"/>
              <w:jc w:val="left"/>
            </w:pPr>
            <w:r>
              <w:t xml:space="preserve">120 hours</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03</w:t>
            </w:r>
          </w:p>
        </w:tc>
        <w:tc>
          <w:tcPr/>
          <w:p>
            <w:pPr>
              <w:pStyle w:val="Compact"/>
              <w:jc w:val="left"/>
            </w:pPr>
            <w:r>
              <w:t xml:space="preserve">Doctoral &amp; Master's Research Supervision (per supervised student per semester)</w:t>
            </w:r>
          </w:p>
        </w:tc>
        <w:tc>
          <w:tcPr/>
          <w:p>
            <w:pPr>
              <w:pStyle w:val="Compact"/>
              <w:jc w:val="left"/>
            </w:pPr>
            <w:r>
              <w:t xml:space="preserve">20 students × 2 semesters</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04</w:t>
            </w:r>
          </w:p>
        </w:tc>
        <w:tc>
          <w:tcPr/>
          <w:p>
            <w:pPr>
              <w:pStyle w:val="Compact"/>
              <w:jc w:val="left"/>
            </w:pPr>
            <w:r>
              <w:t xml:space="preserve">Institutional Advisory &amp; Board Consultation (per monthly session, 3 hours)</w:t>
            </w:r>
          </w:p>
        </w:tc>
        <w:tc>
          <w:tcPr/>
          <w:p>
            <w:pPr>
              <w:pStyle w:val="Compact"/>
              <w:jc w:val="left"/>
            </w:pPr>
            <w:r>
              <w:t xml:space="preserve">12 sessions</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05</w:t>
            </w:r>
          </w:p>
        </w:tc>
        <w:tc>
          <w:tcPr/>
          <w:p>
            <w:pPr>
              <w:pStyle w:val="Compact"/>
              <w:jc w:val="left"/>
            </w:pPr>
            <w:r>
              <w:t xml:space="preserve">Conference Participation &amp; Travel (registration, accommodation in Tel Aviv, and per diem)</w:t>
            </w:r>
          </w:p>
        </w:tc>
        <w:tc>
          <w:tcPr/>
          <w:p>
            <w:pPr>
              <w:pStyle w:val="Compact"/>
              <w:jc w:val="left"/>
            </w:pPr>
            <w:r>
              <w:t xml:space="preserve">4 conferences</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06</w:t>
            </w:r>
          </w:p>
        </w:tc>
        <w:tc>
          <w:tcPr/>
          <w:p>
            <w:pPr>
              <w:pStyle w:val="Compact"/>
              <w:jc w:val="left"/>
            </w:pPr>
            <w:r>
              <w:t xml:space="preserve">Grant Proposal Development &amp; Submission (per proposal, including data collection and peer review)</w:t>
            </w:r>
          </w:p>
        </w:tc>
        <w:tc>
          <w:tcPr/>
          <w:p>
            <w:pPr>
              <w:pStyle w:val="Compact"/>
              <w:jc w:val="left"/>
            </w:pPr>
            <w:r>
              <w:t xml:space="preserve">2 proposals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Office &amp; Administrative Support (dedicated workspace at Tel Aviv campus, administrative assistant allocation)</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08</w:t>
            </w:r>
          </w:p>
        </w:tc>
        <w:tc>
          <w:tcPr/>
          <w:p>
            <w:pPr>
              <w:pStyle w:val="Compact"/>
              <w:jc w:val="left"/>
            </w:pPr>
            <w:r>
              <w:t xml:space="preserve">Publication &amp; Open-Access Fees (journal submission, peer review, and open-access publication costs)</w:t>
            </w:r>
          </w:p>
        </w:tc>
        <w:tc>
          <w:tcPr/>
          <w:p>
            <w:pPr>
              <w:pStyle w:val="Compact"/>
              <w:jc w:val="left"/>
            </w:pPr>
            <w:r>
              <w:t xml:space="preserve">Est. 6 publications</w:t>
            </w:r>
          </w:p>
        </w:tc>
        <w:tc>
          <w:tcPr/>
          <w:p>
            <w:pPr>
              <w:pStyle w:val="Compact"/>
              <w:jc w:val="left"/>
            </w:pPr>
            <w:r>
              <w:t xml:space="preserve">5,500</w:t>
            </w:r>
          </w:p>
        </w:tc>
        <w:tc>
          <w:tcPr/>
          <w:p>
            <w:pPr>
              <w:pStyle w:val="Compact"/>
              <w:jc w:val="left"/>
            </w:pPr>
            <w:r>
              <w:t xml:space="preserve">33,000</w:t>
            </w:r>
          </w:p>
        </w:tc>
      </w:tr>
      <w:tr>
        <w:tc>
          <w:tcPr>
            <w:gridSpan w:val="4"/>
          </w:tcPr>
          <w:p>
            <w:pPr>
              <w:pStyle w:val="Compact"/>
              <w:jc w:val="right"/>
            </w:pPr>
            <w:r>
              <w:t xml:space="preserve">Subtotal (ILS)</w:t>
            </w:r>
          </w:p>
        </w:tc>
        <w:tc>
          <w:tcPr/>
          <w:p>
            <w:pPr>
              <w:pStyle w:val="Compact"/>
              <w:jc w:val="left"/>
            </w:pPr>
            <w:r>
              <w:t xml:space="preserve">1,029,400</w:t>
            </w:r>
          </w:p>
        </w:tc>
      </w:tr>
      <w:tr>
        <w:tc>
          <w:tcPr>
            <w:gridSpan w:val="4"/>
          </w:tcPr>
          <w:p>
            <w:pPr>
              <w:pStyle w:val="Compact"/>
              <w:jc w:val="right"/>
            </w:pPr>
            <w:r>
              <w:t xml:space="preserve">VAT @ 18% (Israel Value Added Tax)</w:t>
            </w:r>
          </w:p>
        </w:tc>
        <w:tc>
          <w:tcPr/>
          <w:p>
            <w:pPr>
              <w:pStyle w:val="Compact"/>
              <w:jc w:val="left"/>
            </w:pPr>
            <w:r>
              <w:t xml:space="preserve">185,292</w:t>
            </w:r>
          </w:p>
        </w:tc>
      </w:tr>
      <w:tr>
        <w:tc>
          <w:tcPr>
            <w:gridSpan w:val="4"/>
          </w:tcPr>
          <w:p>
            <w:pPr>
              <w:pStyle w:val="Compact"/>
              <w:jc w:val="right"/>
            </w:pPr>
            <w:r>
              <w:t xml:space="preserve">TOTAL ESTIMATED COST (ILS)</w:t>
            </w:r>
          </w:p>
        </w:tc>
        <w:tc>
          <w:tcPr/>
          <w:p>
            <w:pPr>
              <w:pStyle w:val="Compact"/>
              <w:jc w:val="left"/>
            </w:pPr>
            <w:r>
              <w:t xml:space="preserve">1,214,692</w:t>
            </w:r>
          </w:p>
        </w:tc>
      </w:tr>
      <w:tr>
        <w:tc>
          <w:tcPr>
            <w:gridSpan w:val="4"/>
          </w:tcPr>
          <w:p>
            <w:pPr>
              <w:pStyle w:val="Compact"/>
              <w:jc w:val="right"/>
            </w:pPr>
            <w:r>
              <w:t xml:space="preserve">TOTAL ESTIMATED COST (USD, approximate at 3.75 ILS/USD)</w:t>
            </w:r>
          </w:p>
        </w:tc>
        <w:tc>
          <w:tcPr/>
          <w:p>
            <w:pPr>
              <w:pStyle w:val="Compact"/>
              <w:jc w:val="left"/>
            </w:pPr>
            <w:r>
              <w:t xml:space="preserve">≈ 323,918</w:t>
            </w:r>
          </w:p>
        </w:tc>
      </w:tr>
    </w:tbl>
    <w:bookmarkEnd w:id="23"/>
    <w:bookmarkStart w:id="24" w:name="payment-terms-schedule"/>
    <w:p>
      <w:pPr>
        <w:pStyle w:val="Heading2"/>
      </w:pPr>
      <w:r>
        <w:t xml:space="preserve">4. Payment Terms &amp; Schedule</w:t>
      </w:r>
    </w:p>
    <w:p>
      <w:pPr>
        <w:pStyle w:val="FirstParagraph"/>
      </w:pPr>
      <w:r>
        <w:t xml:space="preserve">All payments under this Quotation Estimate shall be made in Israeli New Shekels (ILS) via bank transfer to the designated account of the Professor or the Consortium's finance office in Tel Aviv. The payment schedule is structured as follows:</w:t>
      </w:r>
    </w:p>
    <w:p>
      <w:pPr>
        <w:numPr>
          <w:ilvl w:val="0"/>
          <w:numId w:val="1002"/>
        </w:numPr>
        <w:pStyle w:val="Compact"/>
      </w:pPr>
      <w:r>
        <w:rPr>
          <w:bCs/>
          <w:b/>
        </w:rPr>
        <w:t xml:space="preserve">30% advance payment</w:t>
      </w:r>
      <w:r>
        <w:t xml:space="preserve"> </w:t>
      </w:r>
      <w:r>
        <w:t xml:space="preserve">upon signed acceptance of this Quotation Estimate, due within 14 calendar days of the issue date.</w:t>
      </w:r>
    </w:p>
    <w:p>
      <w:pPr>
        <w:numPr>
          <w:ilvl w:val="0"/>
          <w:numId w:val="1002"/>
        </w:numPr>
        <w:pStyle w:val="Compact"/>
      </w:pPr>
      <w:r>
        <w:rPr>
          <w:bCs/>
          <w:b/>
        </w:rPr>
        <w:t xml:space="preserve">Monthly retainer payments</w:t>
      </w:r>
      <w:r>
        <w:t xml:space="preserve"> </w:t>
      </w:r>
      <w:r>
        <w:t xml:space="preserve">(Item 01) to be processed on the first business day of each month, commencing September 2025.</w:t>
      </w:r>
    </w:p>
    <w:p>
      <w:pPr>
        <w:numPr>
          <w:ilvl w:val="0"/>
          <w:numId w:val="1002"/>
        </w:numPr>
        <w:pStyle w:val="Compact"/>
      </w:pPr>
      <w:r>
        <w:rPr>
          <w:bCs/>
          <w:b/>
        </w:rPr>
        <w:t xml:space="preserve">Per-service payments</w:t>
      </w:r>
      <w:r>
        <w:t xml:space="preserve"> </w:t>
      </w:r>
      <w:r>
        <w:t xml:space="preserve">(Items 02 through 08) to be invoiced monthly and settled within 30 days of invoice receipt.</w:t>
      </w:r>
    </w:p>
    <w:p>
      <w:pPr>
        <w:numPr>
          <w:ilvl w:val="0"/>
          <w:numId w:val="1002"/>
        </w:numPr>
        <w:pStyle w:val="Compact"/>
      </w:pPr>
      <w:r>
        <w:rPr>
          <w:bCs/>
          <w:b/>
        </w:rPr>
        <w:t xml:space="preserve">Final settlement</w:t>
      </w:r>
      <w:r>
        <w:t xml:space="preserve"> </w:t>
      </w:r>
      <w:r>
        <w:t xml:space="preserve">of all outstanding balances to be completed within 45 days of the engagement's conclusion in August 2026.</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a period of ninety (90) days from the date of issue. Beyond this period, all rates and terms are subject to revision based on prevailing academic labor market conditions in Tel Aviv, Israel.</w:t>
      </w:r>
    </w:p>
    <w:p>
      <w:pPr>
        <w:numPr>
          <w:ilvl w:val="0"/>
          <w:numId w:val="1003"/>
        </w:numPr>
        <w:pStyle w:val="Compact"/>
      </w:pPr>
      <w:r>
        <w:t xml:space="preserve">The Professor's engagement is governed by the Israeli Higher Education Law (5762-2002) and the relevant employment regulations of the State of Israel. All intellectual property produced during the engagement shall be jointly owned by the Professor and the Consortium, as stipulated in the separate Intellectual Property Agreement.</w:t>
      </w:r>
    </w:p>
    <w:p>
      <w:pPr>
        <w:numPr>
          <w:ilvl w:val="0"/>
          <w:numId w:val="1003"/>
        </w:numPr>
        <w:pStyle w:val="Compact"/>
      </w:pPr>
      <w:r>
        <w:t xml:space="preserve">Either party may terminate the engagement with a written notice of sixty (60) days. In the event of early termination, all services rendered up to the termination date shall be invoiced in full, and no penalty shall apply.</w:t>
      </w:r>
    </w:p>
    <w:p>
      <w:pPr>
        <w:numPr>
          <w:ilvl w:val="0"/>
          <w:numId w:val="1003"/>
        </w:numPr>
        <w:pStyle w:val="Compact"/>
      </w:pPr>
      <w:r>
        <w:t xml:space="preserve">The Professor is entitled to a minimum of four (4) weeks of paid academic leave per year, in accordance with standard Israeli academic calendar practices, including the traditional Jewish holiday periods observed in Tel Aviv.</w:t>
      </w:r>
    </w:p>
    <w:p>
      <w:pPr>
        <w:numPr>
          <w:ilvl w:val="0"/>
          <w:numId w:val="1003"/>
        </w:numPr>
        <w:pStyle w:val="Compact"/>
      </w:pPr>
      <w:r>
        <w:t xml:space="preserve">All data collected, processed, or stored in connection with the Professor's research activities in Tel Aviv shall comply with the Israeli Privacy Protection Law (5741-1981) and the EU General Data Protection Regulation (GDPR) where applicable to international collaborations.</w:t>
      </w:r>
    </w:p>
    <w:p>
      <w:pPr>
        <w:numPr>
          <w:ilvl w:val="0"/>
          <w:numId w:val="1003"/>
        </w:numPr>
        <w:pStyle w:val="Compact"/>
      </w:pPr>
      <w:r>
        <w:t xml:space="preserve">This Quotation Estimate does not constitute a binding contract until countersigned by both parties. The final engagement contract, incorporating all terms herein, shall be executed in Hebrew and English, with the Hebrew text prevailing in the event of any discrepancy.</w:t>
      </w:r>
    </w:p>
    <w:p>
      <w:pPr>
        <w:numPr>
          <w:ilvl w:val="0"/>
          <w:numId w:val="1003"/>
        </w:numPr>
        <w:pStyle w:val="Compact"/>
      </w:pPr>
      <w:r>
        <w:t xml:space="preserve">Any disputes arising from this Quotation Estimate or the subsequent engagement shall be resolved through mediation in Tel Aviv, Israel, in accordance with the provisions of the Israeli Arbitration Law (5728-1968).</w:t>
      </w:r>
    </w:p>
    <w:p>
      <w:pPr>
        <w:numPr>
          <w:ilvl w:val="0"/>
          <w:numId w:val="1003"/>
        </w:numPr>
        <w:pStyle w:val="Compact"/>
      </w:pPr>
      <w:r>
        <w:t xml:space="preserve">The Professor shall maintain professional liability insurance with a minimum coverage of ILS 2,000,000 throughout the duration of the engagement in Tel Aviv.</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they have read, understood, and agree to the terms and conditions set forth in this Quotation Estimate for Professorial Academic Services in Tel Aviv, Israel. This document serves as the formal basis for the subsequent execution of the full engagement contract.</w:t>
      </w:r>
    </w:p>
    <w:bookmarkEnd w:id="26"/>
    <w:p>
      <w:pPr>
        <w:pStyle w:val="BodyText"/>
      </w:pPr>
      <w:r>
        <w:rPr>
          <w:bCs/>
          <w:b/>
        </w:rPr>
        <w:t xml:space="preserve">For the Client:</w:t>
      </w:r>
      <w:r>
        <w:br/>
      </w:r>
      <w:r>
        <w:t xml:space="preserve">Tel Aviv Academic Consortium</w:t>
      </w:r>
      <w:r>
        <w:br/>
      </w:r>
      <w:r>
        <w:t xml:space="preserve">Name: ___________________________</w:t>
      </w:r>
      <w:r>
        <w:br/>
      </w:r>
      <w:r>
        <w:t xml:space="preserve">Title: ___________________________</w:t>
      </w:r>
      <w:r>
        <w:br/>
      </w:r>
      <w:r>
        <w:t xml:space="preserve">Signature &amp; Date: ___________________</w:t>
      </w:r>
    </w:p>
    <w:p>
      <w:pPr>
        <w:pStyle w:val="BodyText"/>
      </w:pPr>
      <w:r>
        <w:rPr>
          <w:bCs/>
          <w:b/>
        </w:rPr>
        <w:t xml:space="preserve">For the Professor:</w:t>
      </w:r>
      <w:r>
        <w:br/>
      </w:r>
      <w:r>
        <w:t xml:space="preserve">Prof. Daniel A. Rosenfeld, Ph.D.</w:t>
      </w:r>
      <w:r>
        <w:br/>
      </w:r>
      <w:r>
        <w:t xml:space="preserve">Tel Aviv University, Tel Aviv, Israel</w:t>
      </w:r>
      <w:r>
        <w:br/>
      </w:r>
      <w:r>
        <w:t xml:space="preserve">Signature &amp; Date: ___________________</w:t>
      </w:r>
    </w:p>
    <w:p>
      <w:pPr>
        <w:pStyle w:val="BodyText"/>
      </w:pPr>
      <w:r>
        <w:rPr>
          <w:bCs/>
          <w:b/>
        </w:rPr>
        <w:t xml:space="preserve">Quotation Estimate QTE-TLV-2025-0472</w:t>
      </w:r>
      <w:r>
        <w:t xml:space="preserve"> </w:t>
      </w:r>
      <w:r>
        <w:t xml:space="preserve">— Professor Academic Services — Tel Aviv, Israel</w:t>
      </w:r>
      <w:r>
        <w:br/>
      </w:r>
      <w:r>
        <w:t xml:space="preserve">This document was prepared in accordance with Israeli commercial and academic standards. All monetary values are expressed in Israeli New Shekels (ILS) unless otherwise stated.</w:t>
      </w:r>
      <w:r>
        <w:br/>
      </w:r>
      <w:r>
        <w:t xml:space="preserve">© 2025 Tel Aviv Academic Consortium. All rights reserved. |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Tel Aviv, Israel</dc:title>
  <dc:creator/>
  <dc:language>en</dc:language>
  <cp:keywords/>
  <dcterms:created xsi:type="dcterms:W3CDTF">2026-10-10T04:08:37Z</dcterms:created>
  <dcterms:modified xsi:type="dcterms:W3CDTF">2026-10-10T04:08:37Z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