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osaka-academic-consulting-group-co.-ltd."/>
    <w:p>
      <w:pPr>
        <w:pStyle w:val="Heading1"/>
      </w:pPr>
      <w:r>
        <w:t xml:space="preserve">Osaka Academic Consulting Group Co., Ltd.</w:t>
      </w:r>
    </w:p>
    <w:p>
      <w:pPr>
        <w:pStyle w:val="FirstParagraph"/>
      </w:pPr>
      <w:r>
        <w:t xml:space="preserve">2-14-8 Umeda, Kita-ku, Osaka 530-0001, Japan</w:t>
      </w:r>
    </w:p>
    <w:p>
      <w:pPr>
        <w:pStyle w:val="BodyText"/>
      </w:pPr>
      <w:r>
        <w:t xml:space="preserve">Tel: +81-6-6345-7890 | Email: inquiries@osakaacademic.jp</w:t>
      </w:r>
    </w:p>
    <w:p>
      <w:pPr>
        <w:pStyle w:val="BodyText"/>
      </w:pPr>
      <w:r>
        <w:t xml:space="preserve">Corporation Number: 2010401012345 | Representative: Dr. Kenji Tanaka</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OACG-2025-QE-0047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Prepared For:</w:t>
            </w:r>
          </w:p>
        </w:tc>
        <w:tc>
          <w:tcPr/>
          <w:p>
            <w:pPr>
              <w:pStyle w:val="Compact"/>
              <w:jc w:val="left"/>
            </w:pPr>
            <w:r>
              <w:t xml:space="preserve">Osaka Metropolitan University, Faculty of Engineering</w:t>
            </w:r>
          </w:p>
        </w:tc>
      </w:tr>
      <w:tr>
        <w:tc>
          <w:tcPr/>
          <w:p>
            <w:pPr>
              <w:pStyle w:val="Compact"/>
              <w:jc w:val="left"/>
            </w:pPr>
            <w:r>
              <w:t xml:space="preserve">Attn:</w:t>
            </w:r>
          </w:p>
        </w:tc>
        <w:tc>
          <w:tcPr/>
          <w:p>
            <w:pPr>
              <w:pStyle w:val="Compact"/>
              <w:jc w:val="left"/>
            </w:pPr>
            <w:r>
              <w:t xml:space="preserve">Prof. Hiroshi Yamamoto, Department Head</w:t>
            </w:r>
          </w:p>
        </w:tc>
      </w:tr>
      <w:tr>
        <w:tc>
          <w:tcPr/>
          <w:p>
            <w:pPr>
              <w:pStyle w:val="Compact"/>
              <w:jc w:val="left"/>
            </w:pPr>
            <w:r>
              <w:t xml:space="preserve">Address:</w:t>
            </w:r>
          </w:p>
        </w:tc>
        <w:tc>
          <w:tcPr/>
          <w:p>
            <w:pPr>
              <w:pStyle w:val="Compact"/>
              <w:jc w:val="left"/>
            </w:pPr>
            <w:r>
              <w:t xml:space="preserve">1-5 Yamadaoka, Suita-shi, Osaka 565-0871, Japan</w:t>
            </w:r>
          </w:p>
        </w:tc>
      </w:tr>
      <w:tr>
        <w:tc>
          <w:tcPr/>
          <w:p>
            <w:pPr>
              <w:pStyle w:val="Compact"/>
              <w:jc w:val="left"/>
            </w:pPr>
            <w:r>
              <w:t xml:space="preserve">Project Reference:</w:t>
            </w:r>
          </w:p>
        </w:tc>
        <w:tc>
          <w:tcPr/>
          <w:p>
            <w:pPr>
              <w:pStyle w:val="Compact"/>
              <w:jc w:val="left"/>
            </w:pPr>
            <w:r>
              <w:t xml:space="preserve">Visiting Professor Engagement – Advanced Robotics Research Program</w:t>
            </w:r>
          </w:p>
        </w:tc>
      </w:tr>
    </w:tbl>
    <w:p>
      <w:pPr>
        <w:pStyle w:val="BodyText"/>
      </w:pPr>
      <w:r>
        <w:t xml:space="preserve">Dear Prof. Yamamoto,</w:t>
      </w:r>
    </w:p>
    <w:p>
      <w:pPr>
        <w:pStyle w:val="BodyText"/>
      </w:pPr>
      <w:r>
        <w:t xml:space="preserve">Thank you for your inquiry regarding the engagement of a distinguished visiting Professor for the Advanced Robotics Research Program at Osaka Metropolitan University. This Quotation Estimate has been prepared in accordance with your requirements and reflects the full scope of academic, logistical, and administrative services that Osaka Academic Consulting Group Co., Ltd. will provide to facilitate the Professor's tenure in Japan Osaka. We are pleased to present the following detailed cost breakdown for your review and approval.</w:t>
      </w:r>
    </w:p>
    <w:p>
      <w:pPr>
        <w:pStyle w:val="BodyText"/>
      </w:pPr>
      <w:r>
        <w:t xml:space="preserve">1. Scope of Services – Professor Engagement in Japan Osaka</w:t>
      </w:r>
    </w:p>
    <w:p>
      <w:pPr>
        <w:pStyle w:val="BodyText"/>
      </w:pPr>
      <w:r>
        <w:t xml:space="preserve">This Quotation Estimate covers the complete arrangement for the engagement of Professor Dr. Elena Marchetti (Ph.D., University of Bologna, Italy) as a Visiting Professor for a period of twelve (12) weeks commencing September 1, 2025, through November 21, 2025, at the Osaka Metropolitan University campus in Suita, Japan Osaka. The Professor will deliver advanced lectures, supervise doctoral research students, conduct joint laboratory sessions, and participate in academic conferences hosted within the Japan Osaka metropolitan area.</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c>
          <w:tcPr/>
          <w:p>
            <w:pPr>
              <w:pStyle w:val="Compact"/>
              <w:jc w:val="left"/>
            </w:pPr>
            <w:r>
              <w:t xml:space="preserve">Currency</w:t>
            </w:r>
          </w:p>
        </w:tc>
      </w:tr>
      <w:tr>
        <w:tc>
          <w:tcPr/>
          <w:p>
            <w:pPr>
              <w:pStyle w:val="Compact"/>
              <w:jc w:val="left"/>
            </w:pPr>
            <w:r>
              <w:t xml:space="preserve">1</w:t>
            </w:r>
          </w:p>
        </w:tc>
        <w:tc>
          <w:tcPr/>
          <w:p>
            <w:pPr>
              <w:pStyle w:val="Compact"/>
              <w:jc w:val="left"/>
            </w:pPr>
            <w:r>
              <w:t xml:space="preserve">Professor's Academic Honorarium – Advanced Robotics Lectures (20 hours/week)</w:t>
            </w:r>
          </w:p>
        </w:tc>
        <w:tc>
          <w:tcPr/>
          <w:p>
            <w:pPr>
              <w:pStyle w:val="Compact"/>
              <w:jc w:val="left"/>
            </w:pPr>
            <w:r>
              <w:t xml:space="preserve">12 weeks</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JPY</w:t>
            </w:r>
          </w:p>
        </w:tc>
      </w:tr>
      <w:tr>
        <w:tc>
          <w:tcPr/>
          <w:p>
            <w:pPr>
              <w:pStyle w:val="Compact"/>
              <w:jc w:val="left"/>
            </w:pPr>
            <w:r>
              <w:t xml:space="preserve">2</w:t>
            </w:r>
          </w:p>
        </w:tc>
        <w:tc>
          <w:tcPr/>
          <w:p>
            <w:pPr>
              <w:pStyle w:val="Compact"/>
              <w:jc w:val="left"/>
            </w:pPr>
            <w:r>
              <w:t xml:space="preserve">Professor's Research Supervision Fee – Doctoral Students (4 students)</w:t>
            </w:r>
          </w:p>
        </w:tc>
        <w:tc>
          <w:tcPr/>
          <w:p>
            <w:pPr>
              <w:pStyle w:val="Compact"/>
              <w:jc w:val="left"/>
            </w:pPr>
            <w:r>
              <w:t xml:space="preserve">12 weeks</w:t>
            </w:r>
          </w:p>
        </w:tc>
        <w:tc>
          <w:tcPr/>
          <w:p>
            <w:pPr>
              <w:pStyle w:val="Compact"/>
              <w:jc w:val="left"/>
            </w:pPr>
            <w:r>
              <w:t xml:space="preserve">180,000</w:t>
            </w:r>
          </w:p>
        </w:tc>
        <w:tc>
          <w:tcPr/>
          <w:p>
            <w:pPr>
              <w:pStyle w:val="Compact"/>
              <w:jc w:val="left"/>
            </w:pPr>
            <w:r>
              <w:t xml:space="preserve">2,160,000</w:t>
            </w:r>
          </w:p>
        </w:tc>
        <w:tc>
          <w:tcPr/>
          <w:p>
            <w:pPr>
              <w:pStyle w:val="Compact"/>
              <w:jc w:val="left"/>
            </w:pPr>
            <w:r>
              <w:t xml:space="preserve">JPY</w:t>
            </w:r>
          </w:p>
        </w:tc>
      </w:tr>
      <w:tr>
        <w:tc>
          <w:tcPr/>
          <w:p>
            <w:pPr>
              <w:pStyle w:val="Compact"/>
              <w:jc w:val="left"/>
            </w:pPr>
            <w:r>
              <w:t xml:space="preserve">3</w:t>
            </w:r>
          </w:p>
        </w:tc>
        <w:tc>
          <w:tcPr/>
          <w:p>
            <w:pPr>
              <w:pStyle w:val="Compact"/>
              <w:jc w:val="left"/>
            </w:pPr>
            <w:r>
              <w:t xml:space="preserve">International Airfare – Round Trip (Bologna, Italy to Osaka Kansai International Airport, Japan Osaka)</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JPY</w:t>
            </w:r>
          </w:p>
        </w:tc>
      </w:tr>
      <w:tr>
        <w:tc>
          <w:tcPr/>
          <w:p>
            <w:pPr>
              <w:pStyle w:val="Compact"/>
              <w:jc w:val="left"/>
            </w:pPr>
            <w:r>
              <w:t xml:space="preserve">4</w:t>
            </w:r>
          </w:p>
        </w:tc>
        <w:tc>
          <w:tcPr/>
          <w:p>
            <w:pPr>
              <w:pStyle w:val="Compact"/>
              <w:jc w:val="left"/>
            </w:pPr>
            <w:r>
              <w:t xml:space="preserve">Accommodation – Executive Suite, Umeda District, Osaka (12 weeks, fully furnished)</w:t>
            </w:r>
          </w:p>
        </w:tc>
        <w:tc>
          <w:tcPr/>
          <w:p>
            <w:pPr>
              <w:pStyle w:val="Compact"/>
              <w:jc w:val="left"/>
            </w:pPr>
            <w:r>
              <w:t xml:space="preserve">84 nights</w:t>
            </w:r>
          </w:p>
        </w:tc>
        <w:tc>
          <w:tcPr/>
          <w:p>
            <w:pPr>
              <w:pStyle w:val="Compact"/>
              <w:jc w:val="left"/>
            </w:pPr>
            <w:r>
              <w:t xml:space="preserve">28,000</w:t>
            </w:r>
          </w:p>
        </w:tc>
        <w:tc>
          <w:tcPr/>
          <w:p>
            <w:pPr>
              <w:pStyle w:val="Compact"/>
              <w:jc w:val="left"/>
            </w:pPr>
            <w:r>
              <w:t xml:space="preserve">2,352,000</w:t>
            </w:r>
          </w:p>
        </w:tc>
        <w:tc>
          <w:tcPr/>
          <w:p>
            <w:pPr>
              <w:pStyle w:val="Compact"/>
              <w:jc w:val="left"/>
            </w:pPr>
            <w:r>
              <w:t xml:space="preserve">JPY</w:t>
            </w:r>
          </w:p>
        </w:tc>
      </w:tr>
      <w:tr>
        <w:tc>
          <w:tcPr/>
          <w:p>
            <w:pPr>
              <w:pStyle w:val="Compact"/>
              <w:jc w:val="left"/>
            </w:pPr>
            <w:r>
              <w:t xml:space="preserve">5</w:t>
            </w:r>
          </w:p>
        </w:tc>
        <w:tc>
          <w:tcPr/>
          <w:p>
            <w:pPr>
              <w:pStyle w:val="Compact"/>
              <w:jc w:val="left"/>
            </w:pPr>
            <w:r>
              <w:t xml:space="preserve">Local Transportation Pass – Osaka Metro &amp; JR West (12-week comprehensive pass)</w:t>
            </w:r>
          </w:p>
        </w:tc>
        <w:tc>
          <w:tcPr/>
          <w:p>
            <w:pPr>
              <w:pStyle w:val="Compact"/>
              <w:jc w:val="left"/>
            </w:pPr>
            <w:r>
              <w:t xml:space="preserve">1</w:t>
            </w:r>
          </w:p>
        </w:tc>
        <w:tc>
          <w:tcPr/>
          <w:p>
            <w:pPr>
              <w:pStyle w:val="Compact"/>
              <w:jc w:val="left"/>
            </w:pPr>
            <w:r>
              <w:t xml:space="preserve">96,000</w:t>
            </w:r>
          </w:p>
        </w:tc>
        <w:tc>
          <w:tcPr/>
          <w:p>
            <w:pPr>
              <w:pStyle w:val="Compact"/>
              <w:jc w:val="left"/>
            </w:pPr>
            <w:r>
              <w:t xml:space="preserve">96,000</w:t>
            </w:r>
          </w:p>
        </w:tc>
        <w:tc>
          <w:tcPr/>
          <w:p>
            <w:pPr>
              <w:pStyle w:val="Compact"/>
              <w:jc w:val="left"/>
            </w:pPr>
            <w:r>
              <w:t xml:space="preserve">JPY</w:t>
            </w:r>
          </w:p>
        </w:tc>
      </w:tr>
      <w:tr>
        <w:tc>
          <w:tcPr/>
          <w:p>
            <w:pPr>
              <w:pStyle w:val="Compact"/>
              <w:jc w:val="left"/>
            </w:pPr>
            <w:r>
              <w:t xml:space="preserve">6</w:t>
            </w:r>
          </w:p>
        </w:tc>
        <w:tc>
          <w:tcPr/>
          <w:p>
            <w:pPr>
              <w:pStyle w:val="Compact"/>
              <w:jc w:val="left"/>
            </w:pPr>
            <w:r>
              <w:t xml:space="preserve">Comprehensive Health &amp; Liability Insurance (Japan Osaka coverage, 12 weeks)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JPY</w:t>
            </w:r>
          </w:p>
        </w:tc>
      </w:tr>
      <w:tr>
        <w:tc>
          <w:tcPr/>
          <w:p>
            <w:pPr>
              <w:pStyle w:val="Compact"/>
              <w:jc w:val="left"/>
            </w:pPr>
            <w:r>
              <w:t xml:space="preserve">7</w:t>
            </w:r>
          </w:p>
        </w:tc>
        <w:tc>
          <w:tcPr/>
          <w:p>
            <w:pPr>
              <w:pStyle w:val="Compact"/>
              <w:jc w:val="left"/>
            </w:pPr>
            <w:r>
              <w:t xml:space="preserve">Visa Processing &amp; Immigration Support (Specialized Activity Visa for Japan)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c>
          <w:tcPr/>
          <w:p>
            <w:pPr>
              <w:pStyle w:val="Compact"/>
              <w:jc w:val="left"/>
            </w:pPr>
            <w:r>
              <w:t xml:space="preserve">JPY</w:t>
            </w:r>
          </w:p>
        </w:tc>
      </w:tr>
      <w:tr>
        <w:tc>
          <w:tcPr/>
          <w:p>
            <w:pPr>
              <w:pStyle w:val="Compact"/>
              <w:jc w:val="left"/>
            </w:pPr>
            <w:r>
              <w:t xml:space="preserve">8</w:t>
            </w:r>
          </w:p>
        </w:tc>
        <w:tc>
          <w:tcPr/>
          <w:p>
            <w:pPr>
              <w:pStyle w:val="Compact"/>
              <w:jc w:val="left"/>
            </w:pPr>
            <w:r>
              <w:t xml:space="preserve">Academic Conference Participation – Japan Robotics Society Annual Meeting, Osaka Convention Center</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JPY</w:t>
            </w:r>
          </w:p>
        </w:tc>
      </w:tr>
      <w:tr>
        <w:tc>
          <w:tcPr/>
          <w:p>
            <w:pPr>
              <w:pStyle w:val="Compact"/>
              <w:jc w:val="left"/>
            </w:pPr>
            <w:r>
              <w:t xml:space="preserve">9</w:t>
            </w:r>
          </w:p>
        </w:tc>
        <w:tc>
          <w:tcPr/>
          <w:p>
            <w:pPr>
              <w:pStyle w:val="Compact"/>
              <w:jc w:val="left"/>
            </w:pPr>
            <w:r>
              <w:t xml:space="preserve">Translation &amp; Interpretation Services (English-Japanese, 12 weeks, 2 interpreters)</w:t>
            </w:r>
          </w:p>
        </w:tc>
        <w:tc>
          <w:tcPr/>
          <w:p>
            <w:pPr>
              <w:pStyle w:val="Compact"/>
              <w:jc w:val="left"/>
            </w:pPr>
            <w:r>
              <w:t xml:space="preserve">12 weeks</w:t>
            </w:r>
          </w:p>
        </w:tc>
        <w:tc>
          <w:tcPr/>
          <w:p>
            <w:pPr>
              <w:pStyle w:val="Compact"/>
              <w:jc w:val="left"/>
            </w:pPr>
            <w:r>
              <w:t xml:space="preserve">65,000</w:t>
            </w:r>
          </w:p>
        </w:tc>
        <w:tc>
          <w:tcPr/>
          <w:p>
            <w:pPr>
              <w:pStyle w:val="Compact"/>
              <w:jc w:val="left"/>
            </w:pPr>
            <w:r>
              <w:t xml:space="preserve">780,000</w:t>
            </w:r>
          </w:p>
        </w:tc>
        <w:tc>
          <w:tcPr/>
          <w:p>
            <w:pPr>
              <w:pStyle w:val="Compact"/>
              <w:jc w:val="left"/>
            </w:pPr>
            <w:r>
              <w:t xml:space="preserve">JPY</w:t>
            </w:r>
          </w:p>
        </w:tc>
      </w:tr>
      <w:tr>
        <w:tc>
          <w:tcPr/>
          <w:p>
            <w:pPr>
              <w:pStyle w:val="Compact"/>
              <w:jc w:val="left"/>
            </w:pPr>
            <w:r>
              <w:t xml:space="preserve">10</w:t>
            </w:r>
          </w:p>
        </w:tc>
        <w:tc>
          <w:tcPr/>
          <w:p>
            <w:pPr>
              <w:pStyle w:val="Compact"/>
              <w:jc w:val="left"/>
            </w:pPr>
            <w:r>
              <w:t xml:space="preserve">Administrative &amp; Coordination Fee (Osaka Academic Consulting Group)</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JPY</w:t>
            </w:r>
          </w:p>
        </w:tc>
      </w:tr>
      <w:tr>
        <w:tc>
          <w:tcPr/>
          <w:p>
            <w:pPr>
              <w:pStyle w:val="Compact"/>
              <w:jc w:val="left"/>
            </w:pPr>
            <w:r>
              <w:t xml:space="preserve">11</w:t>
            </w:r>
          </w:p>
        </w:tc>
        <w:tc>
          <w:tcPr/>
          <w:p>
            <w:pPr>
              <w:pStyle w:val="Compact"/>
              <w:jc w:val="left"/>
            </w:pPr>
            <w:r>
              <w:t xml:space="preserve">Reception &amp; Cultural Orientation Program (Japan Osaka academic customs, 2 days)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JPY</w:t>
            </w:r>
          </w:p>
        </w:tc>
      </w:tr>
      <w:tr>
        <w:tc>
          <w:tcPr/>
          <w:p>
            <w:pPr>
              <w:pStyle w:val="Compact"/>
              <w:jc w:val="left"/>
            </w:pPr>
            <w:r>
              <w:t xml:space="preserve">12</w:t>
            </w:r>
          </w:p>
        </w:tc>
        <w:tc>
          <w:tcPr/>
          <w:p>
            <w:pPr>
              <w:pStyle w:val="Compact"/>
              <w:jc w:val="left"/>
            </w:pPr>
            <w:r>
              <w:t xml:space="preserve">Contingency &amp; Miscellaneous Allowance (5% of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684,200</w:t>
            </w:r>
          </w:p>
        </w:tc>
        <w:tc>
          <w:tcPr/>
          <w:p>
            <w:pPr>
              <w:pStyle w:val="Compact"/>
              <w:jc w:val="left"/>
            </w:pPr>
            <w:r>
              <w:t xml:space="preserve">JPY</w:t>
            </w:r>
          </w:p>
        </w:tc>
      </w:tr>
      <w:tr>
        <w:tc>
          <w:tcPr>
            <w:gridSpan w:val="4"/>
          </w:tcPr>
          <w:p>
            <w:pPr>
              <w:pStyle w:val="Compact"/>
              <w:jc w:val="left"/>
            </w:pPr>
            <w:r>
              <w:t xml:space="preserve">TOTAL ESTIMATED COST</w:t>
            </w:r>
          </w:p>
        </w:tc>
        <w:tc>
          <w:tcPr/>
          <w:p>
            <w:pPr>
              <w:pStyle w:val="Compact"/>
              <w:jc w:val="left"/>
            </w:pPr>
            <w:r>
              <w:t xml:space="preserve">13,607,200</w:t>
            </w:r>
          </w:p>
        </w:tc>
        <w:tc>
          <w:tcPr/>
          <w:p>
            <w:pPr>
              <w:pStyle w:val="Compact"/>
              <w:jc w:val="left"/>
            </w:pPr>
            <w:r>
              <w:t xml:space="preserve">JPY</w:t>
            </w:r>
          </w:p>
        </w:tc>
      </w:tr>
    </w:tbl>
    <w:p>
      <w:pPr>
        <w:pStyle w:val="BodyText"/>
      </w:pPr>
      <w:r>
        <w:t xml:space="preserve">3. Payment Terms</w:t>
      </w:r>
    </w:p>
    <w:p>
      <w:pPr>
        <w:pStyle w:val="BodyText"/>
      </w:pPr>
      <w:r>
        <w:t xml:space="preserve">All amounts stated in this Quotation Estimate are denominated in Japanese Yen (JPY) and are inclusive of all applicable consumption tax (10%) as mandated by the National Tax Agency of Japan. Payment shall be structured as follows:</w:t>
      </w:r>
    </w:p>
    <w:p>
      <w:pPr>
        <w:numPr>
          <w:ilvl w:val="0"/>
          <w:numId w:val="1001"/>
        </w:numPr>
        <w:pStyle w:val="Compact"/>
      </w:pPr>
      <w:r>
        <w:rPr>
          <w:bCs/>
          <w:b/>
        </w:rPr>
        <w:t xml:space="preserve">Advance Payment (50%):</w:t>
      </w:r>
      <w:r>
        <w:t xml:space="preserve"> </w:t>
      </w:r>
      <w:r>
        <w:t xml:space="preserve">JPY 6,803,600 – Due within fourteen (14) calendar days of acceptance of this Quotation Estimate, prior to the Professor's departure from Italy.</w:t>
      </w:r>
    </w:p>
    <w:p>
      <w:pPr>
        <w:numPr>
          <w:ilvl w:val="0"/>
          <w:numId w:val="1001"/>
        </w:numPr>
        <w:pStyle w:val="Compact"/>
      </w:pPr>
      <w:r>
        <w:rPr>
          <w:bCs/>
          <w:b/>
        </w:rPr>
        <w:t xml:space="preserve">Mid-Term Payment (30%):</w:t>
      </w:r>
      <w:r>
        <w:t xml:space="preserve"> </w:t>
      </w:r>
      <w:r>
        <w:t xml:space="preserve">JPY 4,082,160 – Due upon the Professor's arrival in Japan Osaka and commencement of the engagement period.</w:t>
      </w:r>
    </w:p>
    <w:p>
      <w:pPr>
        <w:numPr>
          <w:ilvl w:val="0"/>
          <w:numId w:val="1001"/>
        </w:numPr>
        <w:pStyle w:val="Compact"/>
      </w:pPr>
      <w:r>
        <w:rPr>
          <w:bCs/>
          <w:b/>
        </w:rPr>
        <w:t xml:space="preserve">Final Payment (20%):</w:t>
      </w:r>
      <w:r>
        <w:t xml:space="preserve"> </w:t>
      </w:r>
      <w:r>
        <w:t xml:space="preserve">JPY 2,721,440 – Due within ten (10) business days following the Professor's departure from Japan Osaka and submission of the final activity report.</w:t>
      </w:r>
    </w:p>
    <w:p>
      <w:pPr>
        <w:pStyle w:val="FirstParagraph"/>
      </w:pPr>
      <w:r>
        <w:t xml:space="preserve">Payments shall be made via bank transfer to the following account: Osaka Academic Consulting Group Co., Ltd., Mizuho Bank, Umeda Branch, Account No. 214-587-903, SWIFT Code: MHCBJTJT.</w:t>
      </w:r>
    </w:p>
    <w:p>
      <w:pPr>
        <w:pStyle w:val="BodyText"/>
      </w:pPr>
      <w:r>
        <w:t xml:space="preserve">4. Terms and Conditions</w:t>
      </w:r>
    </w:p>
    <w:p>
      <w:pPr>
        <w:numPr>
          <w:ilvl w:val="0"/>
          <w:numId w:val="1002"/>
        </w:numPr>
        <w:pStyle w:val="Compact"/>
      </w:pPr>
      <w:r>
        <w:t xml:space="preserve">This Quotation Estimate is valid for thirty (30) days from the date of issue. Beyond this period, all rates, particularly accommodation and airfare, are subject to revision without prior notice.</w:t>
      </w:r>
    </w:p>
    <w:p>
      <w:pPr>
        <w:numPr>
          <w:ilvl w:val="0"/>
          <w:numId w:val="1002"/>
        </w:numPr>
        <w:pStyle w:val="Compact"/>
      </w:pPr>
      <w:r>
        <w:t xml:space="preserve">The Professor's engagement is contingent upon the successful issuance of a Specialized Activity Visa by the Immigration Services Agency of Japan. In the event of visa denial, all advance payments shall be refunded in full within twenty-one (21) business days, less any non-recoverable third-party fees.</w:t>
      </w:r>
    </w:p>
    <w:p>
      <w:pPr>
        <w:numPr>
          <w:ilvl w:val="0"/>
          <w:numId w:val="1002"/>
        </w:numPr>
        <w:pStyle w:val="Compact"/>
      </w:pPr>
      <w:r>
        <w:t xml:space="preserve">Osaka Academic Consulting Group Co., Ltd. shall coordinate all logistics within Japan Osaka, including but not limited to accommodation, local transportation, visa processing, and academic scheduling. The client institution (Osaka Metropolitan University) is responsible for providing laboratory access, research materials, and on-campus facilities.</w:t>
      </w:r>
    </w:p>
    <w:p>
      <w:pPr>
        <w:numPr>
          <w:ilvl w:val="0"/>
          <w:numId w:val="1002"/>
        </w:numPr>
        <w:pStyle w:val="Compact"/>
      </w:pPr>
      <w:r>
        <w:t xml:space="preserve">Any changes to the scope of services, extension of the Professor's stay beyond twelve weeks, or modification of the academic program must be agreed upon in writing by both parties and will be subject to a supplementary Quotation Estimate.</w:t>
      </w:r>
    </w:p>
    <w:p>
      <w:pPr>
        <w:numPr>
          <w:ilvl w:val="0"/>
          <w:numId w:val="1002"/>
        </w:numPr>
        <w:pStyle w:val="Compact"/>
      </w:pPr>
      <w:r>
        <w:t xml:space="preserve">This Quotation Estimate does not constitute a binding contract until countersigned by both parties. The definitive engagement contract shall be executed separately in accordance with Japanese commercial law.</w:t>
      </w:r>
    </w:p>
    <w:p>
      <w:pPr>
        <w:numPr>
          <w:ilvl w:val="0"/>
          <w:numId w:val="1002"/>
        </w:numPr>
        <w:pStyle w:val="Compact"/>
      </w:pPr>
      <w:r>
        <w:t xml:space="preserve">All intellectual property generated during the Professor's tenure in Japan Osaka shall be governed by a separate Intellectual Property Agreement to be executed prior to the commencement of the engagement.</w:t>
      </w:r>
    </w:p>
    <w:p>
      <w:pPr>
        <w:numPr>
          <w:ilvl w:val="0"/>
          <w:numId w:val="1002"/>
        </w:numPr>
        <w:pStyle w:val="Compact"/>
      </w:pPr>
      <w:r>
        <w:t xml:space="preserve">Disputes arising from this Quotation Estimate or the subsequent engagement shall be resolved through arbitration in Osaka, Japan, in accordance with the rules of the Japan Commercial Arbitration Association.</w:t>
      </w:r>
    </w:p>
    <w:p>
      <w:pPr>
        <w:pStyle w:val="FirstParagraph"/>
      </w:pPr>
      <w:r>
        <w:t xml:space="preserve">5. Acceptance</w:t>
      </w:r>
    </w:p>
    <w:p>
      <w:pPr>
        <w:pStyle w:val="BodyText"/>
      </w:pPr>
      <w:r>
        <w:t xml:space="preserve">By signing below, the client acknowledges receipt of this Quotation Estimate and agrees to the terms, conditions, and pricing outlined herein. This acceptance authorizes Osaka Academic Consulting Group Co., Ltd. to proceed with all arrangements for the Professor's engagement in Japan Osaka.</w:t>
      </w:r>
    </w:p>
    <w:p>
      <w:pPr>
        <w:pStyle w:val="BodyText"/>
      </w:pPr>
      <w:r>
        <w:rPr>
          <w:bCs/>
          <w:b/>
        </w:rPr>
        <w:t xml:space="preserve">For Osaka Academic Consulting Group Co., Ltd.</w:t>
      </w:r>
      <w:r>
        <w:br/>
      </w:r>
      <w:r>
        <w:br/>
      </w:r>
      <w:r>
        <w:t xml:space="preserve">Signature: ______________________________</w:t>
      </w:r>
      <w:r>
        <w:br/>
      </w:r>
      <w:r>
        <w:t xml:space="preserve">Name: Dr. Kenji Tanaka</w:t>
      </w:r>
      <w:r>
        <w:br/>
      </w:r>
      <w:r>
        <w:t xml:space="preserve">Title: Chief Executive Officer</w:t>
      </w:r>
      <w:r>
        <w:br/>
      </w:r>
      <w:r>
        <w:t xml:space="preserve">Date: ______________________________</w:t>
      </w:r>
    </w:p>
    <w:p>
      <w:pPr>
        <w:pStyle w:val="BodyText"/>
      </w:pPr>
      <w:r>
        <w:rPr>
          <w:bCs/>
          <w:b/>
        </w:rPr>
        <w:t xml:space="preserve">For Osaka Metropolitan University (Client)</w:t>
      </w:r>
      <w:r>
        <w:br/>
      </w:r>
      <w:r>
        <w:br/>
      </w:r>
      <w:r>
        <w:t xml:space="preserve">Signature: ______________________________</w:t>
      </w:r>
      <w:r>
        <w:br/>
      </w:r>
      <w:r>
        <w:t xml:space="preserve">Name: Prof. Hiroshi Yamamoto</w:t>
      </w:r>
      <w:r>
        <w:br/>
      </w:r>
      <w:r>
        <w:t xml:space="preserve">Title: Department Head, Faculty of Engineering</w:t>
      </w:r>
      <w:r>
        <w:br/>
      </w:r>
      <w:r>
        <w:t xml:space="preserve">Date: ______________________________</w:t>
      </w:r>
    </w:p>
    <w:p>
      <w:pPr>
        <w:pStyle w:val="BodyText"/>
      </w:pPr>
      <w:r>
        <w:rPr>
          <w:bCs/>
          <w:b/>
        </w:rPr>
        <w:t xml:space="preserve">Important Note:</w:t>
      </w:r>
      <w:r>
        <w:t xml:space="preserve"> </w:t>
      </w:r>
      <w:r>
        <w:t xml:space="preserve">This Quotation Estimate is prepared exclusively for the named client and project reference stated above. It may not be reproduced, distributed, or used for any other purpose without the prior written consent of Osaka Academic Consulting Group Co., Ltd. All information contained herein is confidential. For inquiries or clarifications regarding this Quotation Estimate, please contact our Japan Osaka office at +81-6-6345-7890 or inquiries@osakaacademic.jp. We look forward to facilitating a successful and productive academic engagement for the Professor in Japan Osaka.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Japan Osaka</dc:title>
  <dc:creator/>
  <dc:language>en</dc:language>
  <cp:keywords/>
  <dcterms:created xsi:type="dcterms:W3CDTF">2026-10-10T08:31:12Z</dcterms:created>
  <dcterms:modified xsi:type="dcterms:W3CDTF">2026-10-10T08:31:12Z</dcterms:modified>
</cp:coreProperties>
</file>

<file path=docProps/custom.xml><?xml version="1.0" encoding="utf-8"?>
<Properties xmlns="http://schemas.openxmlformats.org/officeDocument/2006/custom-properties" xmlns:vt="http://schemas.openxmlformats.org/officeDocument/2006/docPropsVTypes"/>
</file>