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Academic &amp; Professional Services Division</w:t>
      </w:r>
    </w:p>
    <w:p>
      <w:pPr>
        <w:pStyle w:val="BodyText"/>
      </w:pPr>
      <w:r>
        <w:t xml:space="preserve">Office of Academic Partnerships &amp; Faculty Engagement</w:t>
      </w:r>
    </w:p>
    <w:p>
      <w:pPr>
        <w:pStyle w:val="BodyText"/>
      </w:pPr>
      <w:r>
        <w:t xml:space="preserve">Al-Salimiyah District, Kuwait City, State of Kuwait</w:t>
      </w:r>
    </w:p>
    <w:p>
      <w:pPr>
        <w:pStyle w:val="BodyText"/>
      </w:pPr>
      <w:r>
        <w:t xml:space="preserve">Tel: +965-2244-5566 | Email: quotations@academicpartners.kw</w:t>
      </w:r>
    </w:p>
    <w:bookmarkEnd w:id="20"/>
    <w:p>
      <w:pPr>
        <w:pStyle w:val="BodyText"/>
      </w:pPr>
      <w:r>
        <w:rPr>
          <w:bCs/>
          <w:b/>
        </w:rPr>
        <w:t xml:space="preserve">Quotation Estimate No.:</w:t>
      </w:r>
      <w:r>
        <w:t xml:space="preserve"> </w:t>
      </w:r>
      <w:r>
        <w:t xml:space="preserve">QE-KW-2025-04782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p>
    <w:p>
      <w:pPr>
        <w:pStyle w:val="BodyText"/>
      </w:pPr>
      <w:r>
        <w:t xml:space="preserve">Dr. Ahmad Al-Mubarak</w:t>
      </w:r>
    </w:p>
    <w:p>
      <w:pPr>
        <w:pStyle w:val="BodyText"/>
      </w:pPr>
      <w:r>
        <w:t xml:space="preserve">Dean of Academic Affairs</w:t>
      </w:r>
    </w:p>
    <w:p>
      <w:pPr>
        <w:pStyle w:val="BodyText"/>
      </w:pPr>
      <w:r>
        <w:t xml:space="preserve">University of Applied Sciences</w:t>
      </w:r>
    </w:p>
    <w:p>
      <w:pPr>
        <w:pStyle w:val="BodyText"/>
      </w:pPr>
      <w:r>
        <w:t xml:space="preserve">P.O. Box 12345, Safat</w:t>
      </w:r>
    </w:p>
    <w:p>
      <w:pPr>
        <w:pStyle w:val="BodyText"/>
      </w:pPr>
      <w:r>
        <w:t xml:space="preserve">Kuwait City, Kuwait</w:t>
      </w:r>
    </w:p>
    <w:bookmarkStart w:id="21" w:name="introduction-and-scope-of-engagement"/>
    <w:p>
      <w:pPr>
        <w:pStyle w:val="Heading2"/>
      </w:pPr>
      <w:r>
        <w:t xml:space="preserve">1. Introduction and Scope of Engagement</w:t>
      </w:r>
    </w:p>
    <w:p>
      <w:pPr>
        <w:pStyle w:val="FirstParagraph"/>
      </w:pPr>
      <w:r>
        <w:t xml:space="preserve">This</w:t>
      </w:r>
      <w:r>
        <w:t xml:space="preserve"> </w:t>
      </w:r>
      <w:r>
        <w:t xml:space="preserve">Quotation Estimate</w:t>
      </w:r>
      <w:r>
        <w:t xml:space="preserve"> </w:t>
      </w:r>
      <w:r>
        <w:t xml:space="preserve">is formally submitted in response to the request for the engagement of a distinguished</w:t>
      </w:r>
      <w:r>
        <w:t xml:space="preserve"> </w:t>
      </w:r>
      <w:r>
        <w:t xml:space="preserve">Professor</w:t>
      </w:r>
      <w:r>
        <w:t xml:space="preserve"> </w:t>
      </w:r>
      <w:r>
        <w:t xml:space="preserve">to deliver a comprehensive series of academic lectures, research supervision, and curriculum development services within the academic institutions located in</w:t>
      </w:r>
      <w:r>
        <w:t xml:space="preserve"> </w:t>
      </w:r>
      <w:r>
        <w:t xml:space="preserve">Kuwait, Kuwait City</w:t>
      </w:r>
      <w:r>
        <w:t xml:space="preserve">. The scope of this engagement encompasses a full academic semester (August 2025 through January 2026) and includes both on-campus instruction at the main campus in Kuwait City and limited remote consultation sessions as required by the client institution.</w:t>
      </w:r>
    </w:p>
    <w:p>
      <w:pPr>
        <w:pStyle w:val="BodyText"/>
      </w:pPr>
      <w:r>
        <w:t xml:space="preserve">The</w:t>
      </w:r>
      <w:r>
        <w:t xml:space="preserve"> </w:t>
      </w:r>
      <w:r>
        <w:t xml:space="preserve">Professor</w:t>
      </w:r>
      <w:r>
        <w:t xml:space="preserve"> </w:t>
      </w:r>
      <w:r>
        <w:t xml:space="preserve">to be engaged holds a Doctorate in Applied Engineering Sciences from a recognized international university, possesses over twenty-five years of academic and industry experience, and has published more than one hundred and forty peer-reviewed articles in internationally indexed journals. The</w:t>
      </w:r>
      <w:r>
        <w:t xml:space="preserve"> </w:t>
      </w:r>
      <w:r>
        <w:t xml:space="preserve">Professor</w:t>
      </w:r>
      <w:r>
        <w:t xml:space="preserve"> </w:t>
      </w:r>
      <w:r>
        <w:t xml:space="preserve">will be responsible for delivering advanced-level courses, supervising a minimum of eight graduate research students, and contributing to the strategic academic planning of the department in</w:t>
      </w:r>
      <w:r>
        <w:t xml:space="preserve"> </w:t>
      </w:r>
      <w:r>
        <w:t xml:space="preserve">Kuwait, Kuwait City</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Weekly advanced lectures (3 hours per session) delivered by the</w:t>
            </w:r>
            <w:r>
              <w:t xml:space="preserve"> </w:t>
            </w:r>
            <w:r>
              <w:t xml:space="preserve">Professor</w:t>
            </w:r>
            <w:r>
              <w:t xml:space="preserve"> </w:t>
            </w:r>
            <w:r>
              <w:t xml:space="preserve">at the Kuwait City campus</w:t>
            </w:r>
          </w:p>
        </w:tc>
        <w:tc>
          <w:tcPr/>
          <w:p>
            <w:pPr>
              <w:pStyle w:val="Compact"/>
              <w:jc w:val="left"/>
            </w:pPr>
            <w:r>
              <w:t xml:space="preserve">26 sessions</w:t>
            </w:r>
          </w:p>
        </w:tc>
        <w:tc>
          <w:tcPr/>
          <w:p>
            <w:pPr>
              <w:pStyle w:val="Compact"/>
              <w:jc w:val="left"/>
            </w:pPr>
            <w:r>
              <w:t xml:space="preserve">450.000</w:t>
            </w:r>
          </w:p>
        </w:tc>
        <w:tc>
          <w:tcPr/>
          <w:p>
            <w:pPr>
              <w:pStyle w:val="Compact"/>
              <w:jc w:val="left"/>
            </w:pPr>
            <w:r>
              <w:t xml:space="preserve">11,700.000</w:t>
            </w:r>
          </w:p>
        </w:tc>
      </w:tr>
      <w:tr>
        <w:tc>
          <w:tcPr/>
          <w:p>
            <w:pPr>
              <w:pStyle w:val="Compact"/>
              <w:jc w:val="left"/>
            </w:pPr>
            <w:r>
              <w:t xml:space="preserve">2</w:t>
            </w:r>
          </w:p>
        </w:tc>
        <w:tc>
          <w:tcPr/>
          <w:p>
            <w:pPr>
              <w:pStyle w:val="Compact"/>
              <w:jc w:val="left"/>
            </w:pPr>
            <w:r>
              <w:t xml:space="preserve">Graduate research supervision and thesis guidance (bi-weekly one-on-one meetings)</w:t>
            </w:r>
          </w:p>
        </w:tc>
        <w:tc>
          <w:tcPr/>
          <w:p>
            <w:pPr>
              <w:pStyle w:val="Compact"/>
              <w:jc w:val="left"/>
            </w:pPr>
            <w:r>
              <w:t xml:space="preserve">13 sessions</w:t>
            </w:r>
          </w:p>
        </w:tc>
        <w:tc>
          <w:tcPr/>
          <w:p>
            <w:pPr>
              <w:pStyle w:val="Compact"/>
              <w:jc w:val="left"/>
            </w:pPr>
            <w:r>
              <w:t xml:space="preserve">350.000</w:t>
            </w:r>
          </w:p>
        </w:tc>
        <w:tc>
          <w:tcPr/>
          <w:p>
            <w:pPr>
              <w:pStyle w:val="Compact"/>
              <w:jc w:val="left"/>
            </w:pPr>
            <w:r>
              <w:t xml:space="preserve">4,550.000</w:t>
            </w:r>
          </w:p>
        </w:tc>
      </w:tr>
      <w:tr>
        <w:tc>
          <w:tcPr/>
          <w:p>
            <w:pPr>
              <w:pStyle w:val="Compact"/>
              <w:jc w:val="left"/>
            </w:pPr>
            <w:r>
              <w:t xml:space="preserve">3</w:t>
            </w:r>
          </w:p>
        </w:tc>
        <w:tc>
          <w:tcPr/>
          <w:p>
            <w:pPr>
              <w:pStyle w:val="Compact"/>
              <w:jc w:val="left"/>
            </w:pPr>
            <w:r>
              <w:t xml:space="preserve">Curriculum development and syllabus design for two new postgraduate modules</w:t>
            </w:r>
          </w:p>
        </w:tc>
        <w:tc>
          <w:tcPr/>
          <w:p>
            <w:pPr>
              <w:pStyle w:val="Compact"/>
              <w:jc w:val="left"/>
            </w:pPr>
            <w:r>
              <w:t xml:space="preserve">2 modules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4</w:t>
            </w:r>
          </w:p>
        </w:tc>
        <w:tc>
          <w:tcPr/>
          <w:p>
            <w:pPr>
              <w:pStyle w:val="Compact"/>
              <w:jc w:val="left"/>
            </w:pPr>
            <w:r>
              <w:t xml:space="preserve">Guest keynote address at the Annual Academic Conference in Kuwait City</w:t>
            </w:r>
          </w:p>
        </w:tc>
        <w:tc>
          <w:tcPr/>
          <w:p>
            <w:pPr>
              <w:pStyle w:val="Compact"/>
              <w:jc w:val="left"/>
            </w:pPr>
            <w:r>
              <w:t xml:space="preserve">1 event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Remote consultation and advisory sessions (video conference) for departmental strategy</w:t>
            </w:r>
          </w:p>
        </w:tc>
        <w:tc>
          <w:tcPr/>
          <w:p>
            <w:pPr>
              <w:pStyle w:val="Compact"/>
              <w:jc w:val="left"/>
            </w:pPr>
            <w:r>
              <w:t xml:space="preserve">6 sessions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Travel, accommodation, and local transportation within Kuwait City for the duration of the engagement</w:t>
            </w:r>
          </w:p>
        </w:tc>
        <w:tc>
          <w:tcPr/>
          <w:p>
            <w:pPr>
              <w:pStyle w:val="Compact"/>
              <w:jc w:val="left"/>
            </w:pPr>
            <w:r>
              <w:t xml:space="preserve">6 months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7</w:t>
            </w:r>
          </w:p>
        </w:tc>
        <w:tc>
          <w:tcPr/>
          <w:p>
            <w:pPr>
              <w:pStyle w:val="Compact"/>
              <w:jc w:val="left"/>
            </w:pPr>
            <w:r>
              <w:t xml:space="preserve">Visa processing, work permit, and administrative coordination fees for the</w:t>
            </w:r>
            <w:r>
              <w:t xml:space="preserve"> </w:t>
            </w:r>
            <w:r>
              <w:t xml:space="preserve">Professor</w:t>
            </w:r>
            <w:r>
              <w:t xml:space="preserve"> </w:t>
            </w:r>
            <w:r>
              <w:t xml:space="preserve">in Kuwait</w:t>
            </w:r>
          </w:p>
        </w:tc>
        <w:tc>
          <w:tcPr/>
          <w:p>
            <w:pPr>
              <w:pStyle w:val="Compact"/>
              <w:jc w:val="left"/>
            </w:pPr>
            <w:r>
              <w:t xml:space="preserve">1 package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8</w:t>
            </w:r>
          </w:p>
        </w:tc>
        <w:tc>
          <w:tcPr/>
          <w:p>
            <w:pPr>
              <w:pStyle w:val="Compact"/>
              <w:jc w:val="left"/>
            </w:pPr>
            <w:r>
              <w:t xml:space="preserve">Preparation of examination papers, grading rubrics, and academic assessment materials</w:t>
            </w:r>
          </w:p>
        </w:tc>
        <w:tc>
          <w:tcPr/>
          <w:p>
            <w:pPr>
              <w:pStyle w:val="Compact"/>
              <w:jc w:val="left"/>
            </w:pPr>
            <w:r>
              <w:t xml:space="preserve">2 semesters</w:t>
            </w:r>
          </w:p>
        </w:tc>
        <w:tc>
          <w:tcPr/>
          <w:p>
            <w:pPr>
              <w:pStyle w:val="Compact"/>
              <w:jc w:val="left"/>
            </w:pPr>
            <w:r>
              <w:t xml:space="preserve">1,100.000</w:t>
            </w:r>
          </w:p>
        </w:tc>
        <w:tc>
          <w:tcPr/>
          <w:p>
            <w:pPr>
              <w:pStyle w:val="Compact"/>
              <w:jc w:val="left"/>
            </w:pPr>
            <w:r>
              <w:t xml:space="preserve">2,200.000</w:t>
            </w:r>
          </w:p>
        </w:tc>
      </w:tr>
      <w:tr>
        <w:tc>
          <w:tcPr>
            <w:gridSpan w:val="4"/>
          </w:tcPr>
          <w:p>
            <w:pPr>
              <w:pStyle w:val="Compact"/>
              <w:jc w:val="left"/>
            </w:pPr>
            <w:r>
              <w:t xml:space="preserve">Subtotal (KWD)</w:t>
            </w:r>
          </w:p>
        </w:tc>
        <w:tc>
          <w:tcPr/>
          <w:p>
            <w:pPr>
              <w:pStyle w:val="Compact"/>
              <w:jc w:val="left"/>
            </w:pPr>
            <w:r>
              <w:t xml:space="preserve">38,500.000</w:t>
            </w:r>
          </w:p>
        </w:tc>
      </w:tr>
      <w:tr>
        <w:tc>
          <w:tcPr>
            <w:gridSpan w:val="4"/>
          </w:tcPr>
          <w:p>
            <w:pPr>
              <w:pStyle w:val="Compact"/>
              <w:jc w:val="left"/>
            </w:pPr>
            <w:r>
              <w:t xml:space="preserve">VAT (5% as applicable in Kuwait)</w:t>
            </w:r>
          </w:p>
        </w:tc>
        <w:tc>
          <w:tcPr/>
          <w:p>
            <w:pPr>
              <w:pStyle w:val="Compact"/>
              <w:jc w:val="left"/>
            </w:pPr>
            <w:r>
              <w:t xml:space="preserve">1,925.000</w:t>
            </w:r>
          </w:p>
        </w:tc>
      </w:tr>
      <w:tr>
        <w:tc>
          <w:tcPr>
            <w:gridSpan w:val="4"/>
          </w:tcPr>
          <w:p>
            <w:pPr>
              <w:pStyle w:val="Compact"/>
              <w:jc w:val="left"/>
            </w:pPr>
            <w:r>
              <w:rPr>
                <w:bCs/>
                <w:b/>
              </w:rPr>
              <w:t xml:space="preserve">Grand Total (KWD)</w:t>
            </w:r>
          </w:p>
        </w:tc>
        <w:tc>
          <w:tcPr/>
          <w:p>
            <w:pPr>
              <w:pStyle w:val="Compact"/>
              <w:jc w:val="left"/>
            </w:pPr>
            <w:r>
              <w:rPr>
                <w:bCs/>
                <w:b/>
              </w:rPr>
              <w:t xml:space="preserve">40,425.000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Any acceptance beyond this period will require re-confirmation of all rates and availability of the</w:t>
      </w:r>
      <w:r>
        <w:t xml:space="preserve"> </w:t>
      </w:r>
      <w:r>
        <w:t xml:space="preserve">Professor</w:t>
      </w:r>
      <w:r>
        <w:t xml:space="preserve">.</w:t>
      </w:r>
    </w:p>
    <w:p>
      <w:pPr>
        <w:numPr>
          <w:ilvl w:val="0"/>
          <w:numId w:val="1001"/>
        </w:numPr>
        <w:pStyle w:val="Compact"/>
      </w:pPr>
      <w:r>
        <w:rPr>
          <w:bCs/>
          <w:b/>
        </w:rPr>
        <w:t xml:space="preserve">3.2</w:t>
      </w:r>
      <w:r>
        <w:t xml:space="preserve"> </w:t>
      </w:r>
      <w:r>
        <w:t xml:space="preserve">Payment shall be made in three equal installments: 40% upon contract signing, 30% at the midpoint of the engagement (November 2025), and the remaining 30% upon successful completion of all deliverables in January 2026.</w:t>
      </w:r>
    </w:p>
    <w:p>
      <w:pPr>
        <w:numPr>
          <w:ilvl w:val="0"/>
          <w:numId w:val="1001"/>
        </w:numPr>
        <w:pStyle w:val="Compact"/>
      </w:pPr>
      <w:r>
        <w:rPr>
          <w:bCs/>
          <w:b/>
        </w:rPr>
        <w:t xml:space="preserve">3.3</w:t>
      </w:r>
      <w:r>
        <w:t xml:space="preserve"> </w:t>
      </w:r>
      <w:r>
        <w:t xml:space="preserve">All payments shall be processed in Kuwaiti Dinars (KWD) via bank transfer to the account designated in the service agreement. No cash payments will be accepted.</w:t>
      </w:r>
    </w:p>
    <w:p>
      <w:pPr>
        <w:numPr>
          <w:ilvl w:val="0"/>
          <w:numId w:val="1001"/>
        </w:numPr>
        <w:pStyle w:val="Compact"/>
      </w:pPr>
      <w:r>
        <w:rPr>
          <w:bCs/>
          <w:b/>
        </w:rPr>
        <w:t xml:space="preserve">3.4</w:t>
      </w:r>
      <w:r>
        <w:t xml:space="preserve"> </w:t>
      </w:r>
      <w:r>
        <w:t xml:space="preserve">The</w:t>
      </w:r>
      <w:r>
        <w:t xml:space="preserve"> </w:t>
      </w:r>
      <w:r>
        <w:t xml:space="preserve">Professor</w:t>
      </w:r>
      <w:r>
        <w:t xml:space="preserve"> </w:t>
      </w:r>
      <w:r>
        <w:t xml:space="preserve">shall comply with all academic regulations, institutional policies, and labor laws of the State of Kuwait. The client institution in</w:t>
      </w:r>
      <w:r>
        <w:t xml:space="preserve"> </w:t>
      </w:r>
      <w:r>
        <w:t xml:space="preserve">Kuwait, Kuwait City</w:t>
      </w:r>
      <w:r>
        <w:t xml:space="preserve"> </w:t>
      </w:r>
      <w:r>
        <w:t xml:space="preserve">shall provide all necessary academic resources, classroom facilities, and administrative support.</w:t>
      </w:r>
    </w:p>
    <w:p>
      <w:pPr>
        <w:numPr>
          <w:ilvl w:val="0"/>
          <w:numId w:val="1001"/>
        </w:numPr>
        <w:pStyle w:val="Compact"/>
      </w:pPr>
      <w:r>
        <w:rPr>
          <w:bCs/>
          <w:b/>
        </w:rPr>
        <w:t xml:space="preserve">3.5</w:t>
      </w:r>
      <w:r>
        <w:t xml:space="preserve"> </w:t>
      </w:r>
      <w:r>
        <w:t xml:space="preserve">Any additional services beyond the scope outlined in this</w:t>
      </w:r>
      <w:r>
        <w:t xml:space="preserve"> </w:t>
      </w:r>
      <w:r>
        <w:t xml:space="preserve">Quotation Estimate</w:t>
      </w:r>
      <w:r>
        <w:t xml:space="preserve"> </w:t>
      </w:r>
      <w:r>
        <w:t xml:space="preserve">shall be subject to a separate written amendment and mutual agreement on additional fees.</w:t>
      </w:r>
    </w:p>
    <w:p>
      <w:pPr>
        <w:numPr>
          <w:ilvl w:val="0"/>
          <w:numId w:val="1001"/>
        </w:numPr>
        <w:pStyle w:val="Compact"/>
      </w:pPr>
      <w:r>
        <w:rPr>
          <w:bCs/>
          <w:b/>
        </w:rPr>
        <w:t xml:space="preserve">3.6</w:t>
      </w:r>
      <w:r>
        <w:t xml:space="preserve"> </w:t>
      </w:r>
      <w:r>
        <w:t xml:space="preserve">The</w:t>
      </w:r>
      <w:r>
        <w:t xml:space="preserve"> </w:t>
      </w:r>
      <w:r>
        <w:t xml:space="preserve">Professor</w:t>
      </w:r>
      <w:r>
        <w:t xml:space="preserve"> </w:t>
      </w:r>
      <w:r>
        <w:t xml:space="preserve">retains full intellectual property rights over all research publications, lecture notes, and academic materials produced during the engagement, unless otherwise stipulated in a separate intellectual property agreement.</w:t>
      </w:r>
    </w:p>
    <w:p>
      <w:pPr>
        <w:numPr>
          <w:ilvl w:val="0"/>
          <w:numId w:val="1001"/>
        </w:numPr>
        <w:pStyle w:val="Compact"/>
      </w:pPr>
      <w:r>
        <w:rPr>
          <w:bCs/>
          <w:b/>
        </w:rPr>
        <w:t xml:space="preserve">3.7</w:t>
      </w:r>
      <w:r>
        <w:t xml:space="preserve"> </w:t>
      </w:r>
      <w:r>
        <w:t xml:space="preserve">Either party may terminate the engagement with a written notice of thirty (30) days. In the event of early termination, fees for services already rendered shall be non-refundable.</w:t>
      </w:r>
    </w:p>
    <w:p>
      <w:pPr>
        <w:numPr>
          <w:ilvl w:val="0"/>
          <w:numId w:val="1001"/>
        </w:numPr>
        <w:pStyle w:val="Compact"/>
      </w:pPr>
      <w:r>
        <w:rPr>
          <w:bCs/>
          <w:b/>
        </w:rPr>
        <w:t xml:space="preserve">3.8</w:t>
      </w:r>
      <w:r>
        <w:t xml:space="preserve"> </w:t>
      </w:r>
      <w:r>
        <w:t xml:space="preserve">This</w:t>
      </w:r>
      <w:r>
        <w:t xml:space="preserve"> </w:t>
      </w:r>
      <w:r>
        <w:t xml:space="preserve">Quotation Estimate</w:t>
      </w:r>
      <w:r>
        <w:t xml:space="preserve"> </w:t>
      </w:r>
      <w:r>
        <w:t xml:space="preserve">does not constitute a binding contract until a formal service agreement is executed by both parties in</w:t>
      </w:r>
      <w:r>
        <w:t xml:space="preserve"> </w:t>
      </w:r>
      <w:r>
        <w:t xml:space="preserve">Kuwait, Kuwait City</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conditions, and financial obligations outlined herein for the engagement of the</w:t>
      </w:r>
      <w:r>
        <w:t xml:space="preserve"> </w:t>
      </w:r>
      <w:r>
        <w:t xml:space="preserve">Professor</w:t>
      </w:r>
      <w:r>
        <w:t xml:space="preserve"> </w:t>
      </w:r>
      <w:r>
        <w:t xml:space="preserve">in</w:t>
      </w:r>
      <w:r>
        <w:t xml:space="preserve"> </w:t>
      </w:r>
      <w:r>
        <w:t xml:space="preserve">Kuwait, Kuwait City</w:t>
      </w:r>
      <w:r>
        <w:t xml:space="preserve">.</w:t>
      </w:r>
    </w:p>
    <w:p>
      <w:pPr>
        <w:pStyle w:val="BodyText"/>
      </w:pPr>
      <w:r>
        <w:rPr>
          <w:bCs/>
          <w:b/>
        </w:rPr>
        <w:t xml:space="preserve">For the Client Institution</w:t>
      </w:r>
      <w:r>
        <w:br/>
      </w:r>
      <w:r>
        <w:t xml:space="preserve">Name: Dr. Ahmad Al-Mubarak</w:t>
      </w:r>
      <w:r>
        <w:br/>
      </w:r>
      <w:r>
        <w:t xml:space="preserve">Title: Dean of Academic Affairs</w:t>
      </w:r>
      <w:r>
        <w:br/>
      </w:r>
      <w:r>
        <w:t xml:space="preserve">Signature &amp; Date: _________________________</w:t>
      </w:r>
    </w:p>
    <w:p>
      <w:pPr>
        <w:pStyle w:val="BodyText"/>
      </w:pPr>
      <w:r>
        <w:rPr>
          <w:bCs/>
          <w:b/>
        </w:rPr>
        <w:t xml:space="preserve">For the Service Provider</w:t>
      </w:r>
      <w:r>
        <w:br/>
      </w:r>
      <w:r>
        <w:t xml:space="preserve">Name: Ms. Fatima Al-Rashidi</w:t>
      </w:r>
      <w:r>
        <w:br/>
      </w:r>
      <w:r>
        <w:t xml:space="preserve">Title: Director, Academic Partnerships</w:t>
      </w:r>
      <w:r>
        <w:br/>
      </w:r>
      <w:r>
        <w:t xml:space="preserve">Signature &amp; Date: _________________________</w:t>
      </w:r>
    </w:p>
    <w:p>
      <w:pPr>
        <w:pStyle w:val="BodyText"/>
      </w:pPr>
      <w:r>
        <w:t xml:space="preserve">This Quotation Estimate document QE-KW-2025-04782 was prepared exclusively for the client named above and is not transferable. All references to the Professor and the location Kuwait, Kuwait City are specific to this engagement. For inquiries or amendments, please contact the Academic Partnerships Division at quotations@academicpartners.kw.</w:t>
      </w:r>
    </w:p>
    <w:p>
      <w:pPr>
        <w:pStyle w:val="BodyText"/>
      </w:pPr>
      <w:r>
        <w:t xml:space="preserve">© 2025 Academic &amp; Professional Services Division, Kuwait City, Kuwait.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Kuwait Kuwait City</dc:title>
  <dc:creator/>
  <dc:language>en</dc:language>
  <cp:keywords/>
  <dcterms:created xsi:type="dcterms:W3CDTF">2026-10-10T04:04:29Z</dcterms:created>
  <dcterms:modified xsi:type="dcterms:W3CDTF">2026-10-10T04:04:29Z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