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Academic &amp; Consulting Services — Malaysia Kuala Lumpur</w:t>
      </w:r>
    </w:p>
    <w:p>
      <w:pPr>
        <w:pStyle w:val="BodyText"/>
      </w:pPr>
      <w:r>
        <w:t xml:space="preserve">Ref: QE/KL/2025/0047  |  Date of Issue: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Prof. Dr. Ahmad bin Rashid, Faculty of Engineering &amp; Technology, University of Kuala Lumpur (UniKL), 50250 Kuala Lumpur, Malaysia</w:t>
            </w:r>
          </w:p>
        </w:tc>
      </w:tr>
      <w:tr>
        <w:tc>
          <w:tcPr/>
          <w:p>
            <w:pPr>
              <w:pStyle w:val="Compact"/>
              <w:jc w:val="left"/>
            </w:pPr>
            <w:r>
              <w:t xml:space="preserve">Prepared For</w:t>
            </w:r>
          </w:p>
        </w:tc>
        <w:tc>
          <w:tcPr/>
          <w:p>
            <w:pPr>
              <w:pStyle w:val="Compact"/>
              <w:jc w:val="left"/>
            </w:pPr>
            <w:r>
              <w:t xml:space="preserve">Meridian Industrial Solutions Sdn. Bhd., Level 12, Menara Maxis, Jalan Tun Razak, 50400 Kuala Lumpur, Malaysia</w:t>
            </w:r>
          </w:p>
        </w:tc>
      </w:tr>
      <w:tr>
        <w:tc>
          <w:tcPr/>
          <w:p>
            <w:pPr>
              <w:pStyle w:val="Compact"/>
              <w:jc w:val="left"/>
            </w:pPr>
            <w:r>
              <w:t xml:space="preserve">Quotation Estimate No.</w:t>
            </w:r>
          </w:p>
        </w:tc>
        <w:tc>
          <w:tcPr/>
          <w:p>
            <w:pPr>
              <w:pStyle w:val="Compact"/>
              <w:jc w:val="left"/>
            </w:pPr>
            <w:r>
              <w:t xml:space="preserve">QE/KL/2025/0047</w:t>
            </w:r>
          </w:p>
        </w:tc>
      </w:tr>
      <w:tr>
        <w:tc>
          <w:tcPr/>
          <w:p>
            <w:pPr>
              <w:pStyle w:val="Compact"/>
              <w:jc w:val="left"/>
            </w:pPr>
            <w:r>
              <w:t xml:space="preserve">Validity Period</w:t>
            </w:r>
          </w:p>
        </w:tc>
        <w:tc>
          <w:tcPr/>
          <w:p>
            <w:pPr>
              <w:pStyle w:val="Compact"/>
              <w:jc w:val="left"/>
            </w:pPr>
            <w:r>
              <w:t xml:space="preserve">30 days from the date of issue (expires 14 July 2025)</w:t>
            </w:r>
          </w:p>
        </w:tc>
      </w:tr>
      <w:tr>
        <w:tc>
          <w:tcPr/>
          <w:p>
            <w:pPr>
              <w:pStyle w:val="Compact"/>
              <w:jc w:val="left"/>
            </w:pPr>
            <w:r>
              <w:t xml:space="preserve">Currency</w:t>
            </w:r>
          </w:p>
        </w:tc>
        <w:tc>
          <w:tcPr/>
          <w:p>
            <w:pPr>
              <w:pStyle w:val="Compact"/>
              <w:jc w:val="left"/>
            </w:pPr>
            <w:r>
              <w:t xml:space="preserve">Malaysian Ringgit (MYR / RM)</w:t>
            </w:r>
          </w:p>
        </w:tc>
      </w:tr>
      <w:tr>
        <w:tc>
          <w:tcPr/>
          <w:p>
            <w:pPr>
              <w:pStyle w:val="Compact"/>
              <w:jc w:val="left"/>
            </w:pPr>
            <w:r>
              <w:t xml:space="preserve">Project Location</w:t>
            </w:r>
          </w:p>
        </w:tc>
        <w:tc>
          <w:tcPr/>
          <w:p>
            <w:pPr>
              <w:pStyle w:val="Compact"/>
              <w:jc w:val="left"/>
            </w:pPr>
            <w:r>
              <w:t xml:space="preserve">Kuala Lumpur, Federal Territory, Malaysia</w:t>
            </w:r>
          </w:p>
        </w:tc>
      </w:tr>
    </w:tbl>
    <w:bookmarkStart w:id="21" w:name="scope-of-services-professor-engagement"/>
    <w:p>
      <w:pPr>
        <w:pStyle w:val="Heading2"/>
      </w:pPr>
      <w:r>
        <w:t xml:space="preserve">1. Scope of Services — Professor Engagement</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Professor</w:t>
      </w:r>
      <w:r>
        <w:t xml:space="preserve"> </w:t>
      </w:r>
      <w:r>
        <w:t xml:space="preserve">in response to the formal request for proposal submitted by Meridian Industrial Solutions Sdn. Bhd. The scope of work encompasses a comprehensive engagement of the</w:t>
      </w:r>
      <w:r>
        <w:t xml:space="preserve"> </w:t>
      </w:r>
      <w:r>
        <w:t xml:space="preserve">Professor</w:t>
      </w:r>
      <w:r>
        <w:t xml:space="preserve"> </w:t>
      </w:r>
      <w:r>
        <w:t xml:space="preserve">to deliver academic consultancy, technical research oversight, and executive training programmes within the Kuala Lumpur metropolitan area, Malaysia. All services shall be rendered in accordance with the professional standards upheld by the Malaysian Academy of Sciences and the relevant regulatory frameworks of the Ministry of Higher Education, Malaysia.</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Executive Technical Consultation — The Professor shall conduct on-site advisory sessions at the client’s Kuala Lumpur headquarters, providing strategic guidance on advanced manufacturing process optimisation, quality assurance frameworks, and research-and-development roadmapping.</w:t>
            </w:r>
          </w:p>
        </w:tc>
        <w:tc>
          <w:tcPr/>
          <w:p>
            <w:pPr>
              <w:pStyle w:val="Compact"/>
              <w:jc w:val="left"/>
            </w:pPr>
            <w:r>
              <w:t xml:space="preserve">12 sessions (2 hrs each)</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Research Supervision &amp; Technical Audit — The Professor will oversee the client’s in-house R&amp;D team, conduct a full technical audit of existing laboratory facilities in Kuala Lumpur, and produce a comprehensive audit report with actionable recommendations.</w:t>
            </w:r>
          </w:p>
        </w:tc>
        <w:tc>
          <w:tcPr/>
          <w:p>
            <w:pPr>
              <w:pStyle w:val="Compact"/>
              <w:jc w:val="left"/>
            </w:pPr>
            <w:r>
              <w:t xml:space="preserve">1 engagement (6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Corporate Training &amp; Workshop Delivery — The Professor shall design and deliver a 3-day intensive workshop on Applied Engineering Mathematics and Data-Driven Decision Making for the client’s senior management and engineering staff, to be held at a conference venue in Kuala Lumpur.</w:t>
            </w:r>
          </w:p>
        </w:tc>
        <w:tc>
          <w:tcPr/>
          <w:p>
            <w:pPr>
              <w:pStyle w:val="Compact"/>
              <w:jc w:val="left"/>
            </w:pPr>
            <w:r>
              <w:t xml:space="preserve">3 days (8 hrs/day)</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4</w:t>
            </w:r>
          </w:p>
        </w:tc>
        <w:tc>
          <w:tcPr/>
          <w:p>
            <w:pPr>
              <w:pStyle w:val="Compact"/>
              <w:jc w:val="left"/>
            </w:pPr>
            <w:r>
              <w:t xml:space="preserve">Academic Paper Review &amp; Publication Advisory — The Professor will review, edit, and provide publication strategy guidance for up to five (5) technical papers prepared by the client’s research division, targeting peer-reviewed journals indexed in Scopus and Web of Science.</w:t>
            </w:r>
          </w:p>
        </w:tc>
        <w:tc>
          <w:tcPr/>
          <w:p>
            <w:pPr>
              <w:pStyle w:val="Compact"/>
              <w:jc w:val="left"/>
            </w:pPr>
            <w:r>
              <w:t xml:space="preserve">5 papers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Travel, Accommodation &amp; Local Logistics (Kuala Lumpur) — Covers the Professor’s local transportation, hotel accommodation (if required for multi-day engagements), and incidental expenses within the Kuala Lumpur Federal Territory, Malaysia.</w:t>
            </w:r>
          </w:p>
        </w:tc>
        <w:tc>
          <w:tcPr/>
          <w:p>
            <w:pPr>
              <w:pStyle w:val="Compact"/>
              <w:jc w:val="left"/>
            </w:pPr>
            <w:r>
              <w:t xml:space="preserve">As incurred</w:t>
            </w:r>
          </w:p>
        </w:tc>
        <w:tc>
          <w:tcPr/>
          <w:p>
            <w:pPr>
              <w:pStyle w:val="Compact"/>
              <w:jc w:val="left"/>
            </w:pPr>
            <w:r>
              <w:t xml:space="preserve">1.00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Intellectual Property &amp; Confidentiality Agreement Fee — Administrative fee for the preparation, legal review, and execution of a mutual Non-Disclosure Agreement (NDA) and IP ownership clause specific to this engagement in Malaysia.</w:t>
            </w:r>
          </w:p>
        </w:tc>
        <w:tc>
          <w:tcPr/>
          <w:p>
            <w:pPr>
              <w:pStyle w:val="Compact"/>
              <w:jc w:val="left"/>
            </w:pPr>
            <w:r>
              <w:t xml:space="preserve">1 agreement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(RM)</w:t>
            </w:r>
          </w:p>
        </w:tc>
        <w:tc>
          <w:tcPr/>
          <w:p>
            <w:pPr>
              <w:pStyle w:val="Compact"/>
              <w:jc w:val="left"/>
            </w:pPr>
            <w:r>
              <w:t xml:space="preserve">77,000.00</w:t>
            </w:r>
          </w:p>
        </w:tc>
      </w:tr>
      <w:tr>
        <w:tc>
          <w:tcPr>
            <w:gridSpan w:val="4"/>
          </w:tcPr>
          <w:p>
            <w:pPr>
              <w:pStyle w:val="Compact"/>
              <w:jc w:val="right"/>
            </w:pPr>
            <w:r>
              <w:t xml:space="preserve">Service Tax (6% — Malaysian Service Tax Act 2018)</w:t>
            </w:r>
          </w:p>
        </w:tc>
        <w:tc>
          <w:tcPr/>
          <w:p>
            <w:pPr>
              <w:pStyle w:val="Compact"/>
              <w:jc w:val="left"/>
            </w:pPr>
            <w:r>
              <w:t xml:space="preserve">4,620.00</w:t>
            </w:r>
          </w:p>
        </w:tc>
      </w:tr>
      <w:tr>
        <w:tc>
          <w:tcPr>
            <w:gridSpan w:val="4"/>
          </w:tcPr>
          <w:p>
            <w:pPr>
              <w:pStyle w:val="Compact"/>
              <w:jc w:val="right"/>
            </w:pPr>
            <w:r>
              <w:t xml:space="preserve">TOTAL AMOUNT DUE (RM)</w:t>
            </w:r>
          </w:p>
        </w:tc>
        <w:tc>
          <w:tcPr/>
          <w:p>
            <w:pPr>
              <w:pStyle w:val="Compact"/>
              <w:jc w:val="left"/>
            </w:pPr>
            <w:r>
              <w:t xml:space="preserve">81,620.00</w:t>
            </w:r>
          </w:p>
        </w:tc>
      </w:tr>
    </w:tbl>
    <w:bookmarkEnd w:id="22"/>
    <w:bookmarkStart w:id="23" w:name="payment-terms"/>
    <w:p>
      <w:pPr>
        <w:pStyle w:val="Heading2"/>
      </w:pPr>
      <w:r>
        <w:t xml:space="preserve">3. Payment Terms</w:t>
      </w:r>
    </w:p>
    <w:p>
      <w:pPr>
        <w:numPr>
          <w:ilvl w:val="0"/>
          <w:numId w:val="1001"/>
        </w:numPr>
        <w:pStyle w:val="Compact"/>
      </w:pPr>
      <w:r>
        <w:t xml:space="preserve">A non-refundable deposit of</w:t>
      </w:r>
      <w:r>
        <w:t xml:space="preserve"> </w:t>
      </w:r>
      <w:r>
        <w:rPr>
          <w:bCs/>
          <w:b/>
        </w:rPr>
        <w:t xml:space="preserve">30%</w:t>
      </w:r>
      <w:r>
        <w:t xml:space="preserve"> </w:t>
      </w:r>
      <w:r>
        <w:t xml:space="preserve">(RM 24,486.00) of the total Quotation Estimate amount shall be payable within seven (7) working days of the client’s written acceptance of this document.</w:t>
      </w:r>
    </w:p>
    <w:p>
      <w:pPr>
        <w:numPr>
          <w:ilvl w:val="0"/>
          <w:numId w:val="1001"/>
        </w:numPr>
        <w:pStyle w:val="Compact"/>
      </w:pPr>
      <w:r>
        <w:t xml:space="preserve">The remaining</w:t>
      </w:r>
      <w:r>
        <w:t xml:space="preserve"> </w:t>
      </w:r>
      <w:r>
        <w:rPr>
          <w:bCs/>
          <w:b/>
        </w:rPr>
        <w:t xml:space="preserve">70%</w:t>
      </w:r>
      <w:r>
        <w:t xml:space="preserve"> </w:t>
      </w:r>
      <w:r>
        <w:t xml:space="preserve">(RM 57,134.00) shall be payable in two equal instalments: 50% upon completion of the mid-project milestone (end of Week 4) and 50% upon final delivery of all reports, training materials, and the closing workshop in Kuala Lumpur.</w:t>
      </w:r>
    </w:p>
    <w:p>
      <w:pPr>
        <w:numPr>
          <w:ilvl w:val="0"/>
          <w:numId w:val="1001"/>
        </w:numPr>
        <w:pStyle w:val="Compact"/>
      </w:pPr>
      <w:r>
        <w:t xml:space="preserve">All payments shall be made via bank transfer to the Professor’s designated account at Maybank Berhad, Kuala Lumpur branch. Invoices shall be issued in accordance with the Inland Revenue Board of Malaysia (LHDN) guidelines.</w:t>
      </w:r>
    </w:p>
    <w:p>
      <w:pPr>
        <w:numPr>
          <w:ilvl w:val="0"/>
          <w:numId w:val="1001"/>
        </w:numPr>
        <w:pStyle w:val="Compact"/>
      </w:pPr>
      <w:r>
        <w:t xml:space="preserve">Late payments shall attract a penalty interest of 1.5% per month, calculated on the outstanding balance, in compliance with Malaysian commercial law.</w:t>
      </w:r>
    </w:p>
    <w:bookmarkEnd w:id="23"/>
    <w:bookmarkStart w:id="24" w:name="terms-conditions"/>
    <w:p>
      <w:pPr>
        <w:pStyle w:val="Heading2"/>
      </w:pPr>
      <w:r>
        <w:t xml:space="preserve">4. Terms &amp; Conditions</w:t>
      </w:r>
    </w:p>
    <w:p>
      <w:pPr>
        <w:numPr>
          <w:ilvl w:val="0"/>
          <w:numId w:val="1002"/>
        </w:numPr>
        <w:pStyle w:val="Compact"/>
      </w:pPr>
      <w:r>
        <w:t xml:space="preserve">This Quotation Estimate is valid for a period of thirty (30) calendar days from the date of issue. Beyond this period, the Professor reserves the right to revise the pricing due to changes in availability, travel costs, or applicable Malaysian tax regulations.</w:t>
      </w:r>
    </w:p>
    <w:p>
      <w:pPr>
        <w:numPr>
          <w:ilvl w:val="0"/>
          <w:numId w:val="1002"/>
        </w:numPr>
        <w:pStyle w:val="Compact"/>
      </w:pPr>
      <w:r>
        <w:t xml:space="preserve">All services described herein shall be performed by the undersigned Professor personally. Delegation to junior academic staff or postgraduate researchers is not permitted without prior written consent from the client.</w:t>
      </w:r>
    </w:p>
    <w:p>
      <w:pPr>
        <w:numPr>
          <w:ilvl w:val="0"/>
          <w:numId w:val="1002"/>
        </w:numPr>
        <w:pStyle w:val="Compact"/>
      </w:pPr>
      <w:r>
        <w:t xml:space="preserve">The Professor shall comply with all applicable laws and regulations of Malaysia, including but not limited to the Personal Data Protection Act 2010 (PDPA), the Employment Act 1955 (where applicable to on-site staff interactions), and the Companies Act 2016.</w:t>
      </w:r>
    </w:p>
    <w:p>
      <w:pPr>
        <w:numPr>
          <w:ilvl w:val="0"/>
          <w:numId w:val="1002"/>
        </w:numPr>
        <w:pStyle w:val="Compact"/>
      </w:pPr>
      <w:r>
        <w:t xml:space="preserve">Any changes to the scope of work, additional sessions, or extended timelines must be documented in a formal Variation Order signed by both parties before execution. Additional charges will be calculated at the unit rates specified in Section 2 of this Quotation Estimate.</w:t>
      </w:r>
    </w:p>
    <w:p>
      <w:pPr>
        <w:numPr>
          <w:ilvl w:val="0"/>
          <w:numId w:val="1002"/>
        </w:numPr>
        <w:pStyle w:val="Compact"/>
      </w:pPr>
      <w:r>
        <w:t xml:space="preserve">The Professor shall maintain professional indemnity insurance with a minimum coverage of RM 1,000,000 throughout the duration of the engagement in Kuala Lumpur, Malaysia.</w:t>
      </w:r>
    </w:p>
    <w:p>
      <w:pPr>
        <w:numPr>
          <w:ilvl w:val="0"/>
          <w:numId w:val="1002"/>
        </w:numPr>
        <w:pStyle w:val="Compact"/>
      </w:pPr>
      <w:r>
        <w:t xml:space="preserve">Disputes arising from this Quotation Estimate shall be resolved through mediation under the rules of the Malaysian Mediation Centre, Kuala Lumpur, and failing that, through the courts of competent jurisdiction in the Federal Territory of Kuala Lumpur.</w:t>
      </w:r>
    </w:p>
    <w:p>
      <w:pPr>
        <w:numPr>
          <w:ilvl w:val="0"/>
          <w:numId w:val="1002"/>
        </w:numPr>
        <w:pStyle w:val="Compact"/>
      </w:pPr>
      <w:r>
        <w:t xml:space="preserve">All deliverables, including reports, training materials, and published papers, shall be provided in both English and Bahasa Malaysia upon the client’s request, at no additional cost.</w:t>
      </w:r>
    </w:p>
    <w:bookmarkEnd w:id="24"/>
    <w:bookmarkStart w:id="25" w:name="acceptance-authorisation"/>
    <w:p>
      <w:pPr>
        <w:pStyle w:val="Heading2"/>
      </w:pPr>
      <w:r>
        <w:t xml:space="preserve">5. Acceptance &amp; Authorisation</w:t>
      </w:r>
    </w:p>
    <w:p>
      <w:pPr>
        <w:pStyle w:val="FirstParagraph"/>
      </w:pPr>
      <w:r>
        <w:t xml:space="preserve">By signing below, both parties acknowledge and agree to the terms, conditions, and pricing outlined in this Quotation Estimate. This document constitutes a binding agreement upon full execution by both the Professor and the authorised representative of the client.</w:t>
      </w:r>
    </w:p>
    <w:p>
      <w:pPr>
        <w:pStyle w:val="BodyText"/>
      </w:pPr>
      <w:r>
        <w:rPr>
          <w:bCs/>
          <w:b/>
        </w:rPr>
        <w:t xml:space="preserve">For and on behalf of the Professor</w:t>
      </w:r>
      <w:r>
        <w:br/>
      </w:r>
      <w:r>
        <w:t xml:space="preserve">Prof. Dr. Ahmad bin Rashid</w:t>
      </w:r>
      <w:r>
        <w:br/>
      </w:r>
      <w:r>
        <w:t xml:space="preserve">University of Kuala Lumpur, Malaysia</w:t>
      </w:r>
      <w:r>
        <w:br/>
      </w:r>
      <w:r>
        <w:t xml:space="preserve">Date: ____________________</w:t>
      </w:r>
    </w:p>
    <w:p>
      <w:pPr>
        <w:pStyle w:val="BodyText"/>
      </w:pPr>
      <w:r>
        <w:rPr>
          <w:bCs/>
          <w:b/>
        </w:rPr>
        <w:t xml:space="preserve">For and on behalf of the Client</w:t>
      </w:r>
      <w:r>
        <w:br/>
      </w:r>
      <w:r>
        <w:t xml:space="preserve">Meridian Industrial Solutions Sdn. Bhd.</w:t>
      </w:r>
      <w:r>
        <w:br/>
      </w:r>
      <w:r>
        <w:t xml:space="preserve">Authorised Signatory</w:t>
      </w:r>
      <w:r>
        <w:br/>
      </w:r>
      <w:r>
        <w:t xml:space="preserve">Date: ____________________</w:t>
      </w:r>
    </w:p>
    <w:p>
      <w:pPr>
        <w:pStyle w:val="BodyText"/>
      </w:pPr>
      <w:r>
        <w:t xml:space="preserve">This Quotation Estimate document was prepared and issued in Kuala Lumpur, Federal Territory, Malaysia. © 2025 Prof. Dr. Ahmad bin Rashid. All rights reserved. Document Reference: QE/KL/2025/0047. This document is confidential and intended solely for the named recipient. Unauthorised reproduction or distribution is prohibited under Malaysian intellectual property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Malaysia Kuala Lumpur</dc:title>
  <dc:creator/>
  <dc:language>en</dc:language>
  <cp:keywords/>
  <dcterms:created xsi:type="dcterms:W3CDTF">2026-10-10T05:11:59Z</dcterms:created>
  <dcterms:modified xsi:type="dcterms:W3CDTF">2026-10-10T05:11:59Z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