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Academic &amp; Professional Services Division</w:t>
      </w:r>
    </w:p>
    <w:p>
      <w:pPr>
        <w:pStyle w:val="BodyText"/>
      </w:pPr>
      <w:r>
        <w:t xml:space="preserve">12 Boulevard Mohammed V, Casablanca 20250, Morocco</w:t>
      </w:r>
    </w:p>
    <w:p>
      <w:pPr>
        <w:pStyle w:val="BodyText"/>
      </w:pPr>
      <w:r>
        <w:t xml:space="preserve">Tel: +212 522-345-678 | Email: quotations@academiccas.ma</w:t>
      </w:r>
    </w:p>
    <w:p>
      <w:pPr>
        <w:pStyle w:val="BodyText"/>
      </w:pPr>
      <w:r>
        <w:t xml:space="preserve">RC: 456789 | ICE: 002345678000091 | IF: 45678901</w:t>
      </w:r>
    </w:p>
    <w:bookmarkEnd w:id="20"/>
    <w:p>
      <w:pPr>
        <w:pStyle w:val="BodyText"/>
      </w:pPr>
      <w:r>
        <w:rPr>
          <w:bCs/>
          <w:b/>
        </w:rPr>
        <w:t xml:space="preserve">Quotation Estimate No.:</w:t>
      </w:r>
      <w:r>
        <w:t xml:space="preserve"> </w:t>
      </w:r>
      <w:r>
        <w:t xml:space="preserve">QE-2025-CAS-0472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Faculty of Sciences, University of Hassan II</w:t>
      </w:r>
      <w:r>
        <w:br/>
      </w:r>
      <w:r>
        <w:t xml:space="preserve">Casablanca, Morocco</w:t>
      </w:r>
      <w:r>
        <w:br/>
      </w:r>
      <w:r>
        <w:t xml:space="preserve">Attn: Dr. Youssef El Amrani, Dean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w:t>
      </w:r>
      <w:r>
        <w:t xml:space="preserve"> </w:t>
      </w:r>
      <w:r>
        <w:t xml:space="preserve">Professor</w:t>
      </w:r>
      <w:r>
        <w:t xml:space="preserve"> </w:t>
      </w:r>
      <w:r>
        <w:t xml:space="preserve">for academic consulting, research supervision, and specialized lecture delivery within the greater</w:t>
      </w:r>
      <w:r>
        <w:t xml:space="preserve"> </w:t>
      </w:r>
      <w:r>
        <w:t xml:space="preserve">Morocco Casablanca</w:t>
      </w:r>
      <w:r>
        <w:t xml:space="preserve"> </w:t>
      </w:r>
      <w:r>
        <w:t xml:space="preserve">metropolitan area. This document serves as a binding financial proposal for the requested academic services and is intended to facilitate the procurement process in accordance with Moroccan public and private sector regulations governing the hiring of senior academic personnel.</w:t>
      </w:r>
    </w:p>
    <w:p>
      <w:pPr>
        <w:pStyle w:val="BodyText"/>
      </w:pPr>
      <w:r>
        <w:t xml:space="preserve">The</w:t>
      </w:r>
      <w:r>
        <w:t xml:space="preserve"> </w:t>
      </w:r>
      <w:r>
        <w:t xml:space="preserve">Professor</w:t>
      </w:r>
      <w:r>
        <w:t xml:space="preserve"> </w:t>
      </w:r>
      <w:r>
        <w:t xml:space="preserve">referenced in this</w:t>
      </w:r>
      <w:r>
        <w:t xml:space="preserve"> </w:t>
      </w:r>
      <w:r>
        <w:t xml:space="preserve">Quotation Estimate</w:t>
      </w:r>
      <w:r>
        <w:t xml:space="preserve"> </w:t>
      </w:r>
      <w:r>
        <w:t xml:space="preserve">is a full-time tenured academic holding a Doctorate in Applied Mathematics and Computational Sciences, with over twenty-two years of experience in higher education institutions across</w:t>
      </w:r>
      <w:r>
        <w:t xml:space="preserve"> </w:t>
      </w:r>
      <w:r>
        <w:t xml:space="preserve">Morocco Casablanca</w:t>
      </w:r>
      <w:r>
        <w:t xml:space="preserve"> </w:t>
      </w:r>
      <w:r>
        <w:t xml:space="preserve">and the broader Maghreb region. The proposed engagement covers a twelve-month academic cycle commencing in September 2025.</w:t>
      </w:r>
    </w:p>
    <w:bookmarkEnd w:id="21"/>
    <w:bookmarkStart w:id="22" w:name="scope-of-services"/>
    <w:p>
      <w:pPr>
        <w:pStyle w:val="Heading2"/>
      </w:pPr>
      <w:r>
        <w:t xml:space="preserve">2. Scope of Services</w:t>
      </w:r>
    </w:p>
    <w:p>
      <w:pPr>
        <w:pStyle w:val="FirstParagraph"/>
      </w:pPr>
      <w:r>
        <w:t xml:space="preserve">The</w:t>
      </w:r>
      <w:r>
        <w:t xml:space="preserve"> </w:t>
      </w:r>
      <w:r>
        <w:t xml:space="preserve">Professor</w:t>
      </w:r>
      <w:r>
        <w:t xml:space="preserve"> </w:t>
      </w:r>
      <w:r>
        <w:t xml:space="preserve">shall provide the following services as outlined in this</w:t>
      </w:r>
      <w:r>
        <w:t xml:space="preserve"> </w:t>
      </w:r>
      <w:r>
        <w:t xml:space="preserve">Quotation Estimate</w:t>
      </w:r>
      <w:r>
        <w:t xml:space="preserve">, all to be delivered within the</w:t>
      </w:r>
      <w:r>
        <w:t xml:space="preserve"> </w:t>
      </w:r>
      <w:r>
        <w:t xml:space="preserve">Morocco Casablanca</w:t>
      </w:r>
      <w:r>
        <w:t xml:space="preserve"> </w:t>
      </w:r>
      <w:r>
        <w:t xml:space="preserve">academic and professional ecosystem:</w:t>
      </w:r>
    </w:p>
    <w:p>
      <w:pPr>
        <w:numPr>
          <w:ilvl w:val="0"/>
          <w:numId w:val="1001"/>
        </w:numPr>
        <w:pStyle w:val="Compact"/>
      </w:pPr>
      <w:r>
        <w:t xml:space="preserve">Delivery of a minimum of 48 contact hours per academic year across three (3) advanced graduate-level courses in Computational Mathematics, Numerical Analysis, and Applied Statistics.</w:t>
      </w:r>
    </w:p>
    <w:p>
      <w:pPr>
        <w:numPr>
          <w:ilvl w:val="0"/>
          <w:numId w:val="1001"/>
        </w:numPr>
        <w:pStyle w:val="Compact"/>
      </w:pPr>
      <w:r>
        <w:t xml:space="preserve">Supervision of no fewer than six (6) Master's thesis candidates and two (2) Doctoral research students, including weekly one-on-one mentoring sessions.</w:t>
      </w:r>
    </w:p>
    <w:p>
      <w:pPr>
        <w:numPr>
          <w:ilvl w:val="0"/>
          <w:numId w:val="1001"/>
        </w:numPr>
        <w:pStyle w:val="Compact"/>
      </w:pPr>
      <w:r>
        <w:t xml:space="preserve">Participation in the Faculty of Sciences' annual research symposium held in Casablanca, including the presentation of at least two (2) peer-reviewed research papers.</w:t>
      </w:r>
    </w:p>
    <w:p>
      <w:pPr>
        <w:numPr>
          <w:ilvl w:val="0"/>
          <w:numId w:val="1001"/>
        </w:numPr>
        <w:pStyle w:val="Compact"/>
      </w:pPr>
      <w:r>
        <w:t xml:space="preserve">Availability for inter-departmental consultation, curriculum development workshops, and accreditation review panels as requested by the Dean's office.</w:t>
      </w:r>
    </w:p>
    <w:p>
      <w:pPr>
        <w:numPr>
          <w:ilvl w:val="0"/>
          <w:numId w:val="1001"/>
        </w:numPr>
        <w:pStyle w:val="Compact"/>
      </w:pPr>
      <w:r>
        <w:t xml:space="preserve">Remote and on-site advisory support for the university's newly established Data Science Laboratory in the Casablanca Technopark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Professor's base academic salary (12-month contract, Casablanca metropolitan rate)</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Advanced lecture delivery – 48 contact hours (graduate level)</w:t>
            </w:r>
          </w:p>
        </w:tc>
        <w:tc>
          <w:tcPr/>
          <w:p>
            <w:pPr>
              <w:pStyle w:val="Compact"/>
              <w:jc w:val="left"/>
            </w:pPr>
            <w:r>
              <w:t xml:space="preserve">48 hours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Thesis and dissertation supervision (8 students, weekly sessions)</w:t>
            </w:r>
          </w:p>
        </w:tc>
        <w:tc>
          <w:tcPr/>
          <w:p>
            <w:pPr>
              <w:pStyle w:val="Compact"/>
              <w:jc w:val="left"/>
            </w:pPr>
            <w:r>
              <w:t xml:space="preserve">8 students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Research symposium participation and paper presentation (Casablanca venue)</w:t>
            </w:r>
          </w:p>
        </w:tc>
        <w:tc>
          <w:tcPr/>
          <w:p>
            <w:pPr>
              <w:pStyle w:val="Compact"/>
              <w:jc w:val="left"/>
            </w:pPr>
            <w:r>
              <w:t xml:space="preserve">2 events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Curriculum development and accreditation panel consultation</w:t>
            </w:r>
          </w:p>
        </w:tc>
        <w:tc>
          <w:tcPr/>
          <w:p>
            <w:pPr>
              <w:pStyle w:val="Compact"/>
              <w:jc w:val="left"/>
            </w:pPr>
            <w:r>
              <w:t xml:space="preserve">10 days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Data Science Laboratory advisory (on-site + remote, Casablanca Technopark)</w:t>
            </w:r>
          </w:p>
        </w:tc>
        <w:tc>
          <w:tcPr/>
          <w:p>
            <w:pPr>
              <w:pStyle w:val="Compact"/>
              <w:jc w:val="left"/>
            </w:pPr>
            <w:r>
              <w:t xml:space="preserve">24 sessions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Travel and local transportation within Morocco Casablanca (monthly allowance)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Research materials, software licenses, and laboratory consumables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Administrative and coordination overhead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53,780.00</w:t>
            </w:r>
          </w:p>
        </w:tc>
      </w:tr>
      <w:tr>
        <w:tc>
          <w:tcPr>
            <w:gridSpan w:val="4"/>
          </w:tcPr>
          <w:p>
            <w:pPr>
              <w:pStyle w:val="Compact"/>
              <w:jc w:val="right"/>
            </w:pPr>
            <w:r>
              <w:t xml:space="preserve">SUBTOTAL (MAD)</w:t>
            </w:r>
          </w:p>
        </w:tc>
        <w:tc>
          <w:tcPr/>
          <w:p>
            <w:pPr>
              <w:pStyle w:val="Compact"/>
              <w:jc w:val="left"/>
            </w:pPr>
            <w:r>
              <w:t xml:space="preserve">531,580.00</w:t>
            </w:r>
          </w:p>
        </w:tc>
      </w:tr>
      <w:tr>
        <w:tc>
          <w:tcPr>
            <w:gridSpan w:val="4"/>
          </w:tcPr>
          <w:p>
            <w:pPr>
              <w:pStyle w:val="Compact"/>
              <w:jc w:val="right"/>
            </w:pPr>
            <w:r>
              <w:t xml:space="preserve">VAT (20% – Moroccan standard rate)</w:t>
            </w:r>
          </w:p>
        </w:tc>
        <w:tc>
          <w:tcPr/>
          <w:p>
            <w:pPr>
              <w:pStyle w:val="Compact"/>
              <w:jc w:val="left"/>
            </w:pPr>
            <w:r>
              <w:t xml:space="preserve">106,316.00</w:t>
            </w:r>
          </w:p>
        </w:tc>
      </w:tr>
      <w:tr>
        <w:tc>
          <w:tcPr>
            <w:gridSpan w:val="4"/>
          </w:tcPr>
          <w:p>
            <w:pPr>
              <w:pStyle w:val="Compact"/>
              <w:jc w:val="right"/>
            </w:pPr>
            <w:r>
              <w:t xml:space="preserve">GRAND TOTAL (MAD)</w:t>
            </w:r>
          </w:p>
        </w:tc>
        <w:tc>
          <w:tcPr/>
          <w:p>
            <w:pPr>
              <w:pStyle w:val="Compact"/>
              <w:jc w:val="left"/>
            </w:pPr>
            <w:r>
              <w:t xml:space="preserve">637,896.00</w:t>
            </w:r>
          </w:p>
        </w:tc>
      </w:tr>
    </w:tbl>
    <w:p>
      <w:pPr>
        <w:pStyle w:val="BodyText"/>
      </w:pPr>
      <w:r>
        <w:rPr>
          <w:iCs/>
          <w:i/>
        </w:rPr>
        <w:t xml:space="preserve">All amounts are quoted in Moroccan Dirhams (MAD). The grand total of 637,896.00 MAD is equivalent to approximately 63,789.60 EUR at the prevailing exchange rate as of the date of this Quotation Estimate.</w:t>
      </w:r>
    </w:p>
    <w:bookmarkEnd w:id="23"/>
    <w:bookmarkStart w:id="24" w:name="payment-terms-and-schedule"/>
    <w:p>
      <w:pPr>
        <w:pStyle w:val="Heading2"/>
      </w:pPr>
      <w:r>
        <w:t xml:space="preserve">4. Payment Terms and Schedule</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 subject to the terms of the final service agreement:</w:t>
      </w:r>
    </w:p>
    <w:p>
      <w:pPr>
        <w:numPr>
          <w:ilvl w:val="0"/>
          <w:numId w:val="1002"/>
        </w:numPr>
        <w:pStyle w:val="Compact"/>
      </w:pPr>
      <w:r>
        <w:rPr>
          <w:bCs/>
          <w:b/>
        </w:rPr>
        <w:t xml:space="preserve">Advance Payment (30%):</w:t>
      </w:r>
      <w:r>
        <w:t xml:space="preserve"> </w:t>
      </w:r>
      <w:r>
        <w:t xml:space="preserve">191,368.80 MAD, due within fifteen (15) business days of contract signature, to be transferred via bank wire to the designated account in Casablanca.</w:t>
      </w:r>
    </w:p>
    <w:p>
      <w:pPr>
        <w:numPr>
          <w:ilvl w:val="0"/>
          <w:numId w:val="1002"/>
        </w:numPr>
        <w:pStyle w:val="Compact"/>
      </w:pPr>
      <w:r>
        <w:rPr>
          <w:bCs/>
          <w:b/>
        </w:rPr>
        <w:t xml:space="preserve">Interim Payment (40%):</w:t>
      </w:r>
      <w:r>
        <w:t xml:space="preserve"> </w:t>
      </w:r>
      <w:r>
        <w:t xml:space="preserve">255,158.40 MAD, due at the midpoint of the academic year (January 2026), contingent upon satisfactory completion of the first six months of services.</w:t>
      </w:r>
    </w:p>
    <w:p>
      <w:pPr>
        <w:numPr>
          <w:ilvl w:val="0"/>
          <w:numId w:val="1002"/>
        </w:numPr>
        <w:pStyle w:val="Compact"/>
      </w:pPr>
      <w:r>
        <w:rPr>
          <w:bCs/>
          <w:b/>
        </w:rPr>
        <w:t xml:space="preserve">Final Payment (30%):</w:t>
      </w:r>
      <w:r>
        <w:t xml:space="preserve"> </w:t>
      </w:r>
      <w:r>
        <w:t xml:space="preserve">191,368.80 MAD, due within thirty (30) days of the conclusion of the academic cycle and submission of the final performance report.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conditions are subject to revision.</w:t>
      </w:r>
    </w:p>
    <w:p>
      <w:pPr>
        <w:numPr>
          <w:ilvl w:val="0"/>
          <w:numId w:val="1003"/>
        </w:numPr>
        <w:pStyle w:val="Compact"/>
      </w:pPr>
      <w:r>
        <w:t xml:space="preserve">The</w:t>
      </w:r>
      <w:r>
        <w:t xml:space="preserve"> </w:t>
      </w:r>
      <w:r>
        <w:t xml:space="preserve">Professor</w:t>
      </w:r>
      <w:r>
        <w:t xml:space="preserve"> </w:t>
      </w:r>
      <w:r>
        <w:t xml:space="preserve">shall comply with all applicable Moroccan labor laws, tax regulations, and institutional policies of the University of Hassan II, Casablanca.</w:t>
      </w:r>
    </w:p>
    <w:p>
      <w:pPr>
        <w:numPr>
          <w:ilvl w:val="0"/>
          <w:numId w:val="1003"/>
        </w:numPr>
        <w:pStyle w:val="Compact"/>
      </w:pPr>
      <w:r>
        <w:t xml:space="preserve">All intellectual property generated during the course of the engagement shall be jointly owned by the</w:t>
      </w:r>
      <w:r>
        <w:t xml:space="preserve"> </w:t>
      </w:r>
      <w:r>
        <w:t xml:space="preserve">Professor</w:t>
      </w:r>
      <w:r>
        <w:t xml:space="preserve"> </w:t>
      </w:r>
      <w:r>
        <w:t xml:space="preserve">and the institution, as stipulated in the final service agreement.</w:t>
      </w:r>
    </w:p>
    <w:p>
      <w:pPr>
        <w:numPr>
          <w:ilvl w:val="0"/>
          <w:numId w:val="1003"/>
        </w:numPr>
        <w:pStyle w:val="Compact"/>
      </w:pPr>
      <w:r>
        <w:t xml:space="preserve">Any changes to the scope of services, additional contact hours, or extended supervision commitments must be documented in a written amendment to this</w:t>
      </w:r>
      <w:r>
        <w:t xml:space="preserve"> </w:t>
      </w:r>
      <w:r>
        <w:t xml:space="preserve">Quotation Estimate</w:t>
      </w:r>
      <w:r>
        <w:t xml:space="preserve"> </w:t>
      </w:r>
      <w:r>
        <w:t xml:space="preserve">and signed by both parties.</w:t>
      </w:r>
    </w:p>
    <w:p>
      <w:pPr>
        <w:numPr>
          <w:ilvl w:val="0"/>
          <w:numId w:val="1003"/>
        </w:numPr>
        <w:pStyle w:val="Compact"/>
      </w:pPr>
      <w:r>
        <w:t xml:space="preserve">The</w:t>
      </w:r>
      <w:r>
        <w:t xml:space="preserve"> </w:t>
      </w:r>
      <w:r>
        <w:t xml:space="preserve">Professor</w:t>
      </w:r>
      <w:r>
        <w:t xml:space="preserve"> </w:t>
      </w:r>
      <w:r>
        <w:t xml:space="preserve">is required to maintain professional liability insurance valid throughout the</w:t>
      </w:r>
      <w:r>
        <w:t xml:space="preserve"> </w:t>
      </w:r>
      <w:r>
        <w:t xml:space="preserve">Morocco Casablanca</w:t>
      </w:r>
      <w:r>
        <w:t xml:space="preserve"> </w:t>
      </w:r>
      <w:r>
        <w:t xml:space="preserve">region for the duration of the contract.</w:t>
      </w:r>
    </w:p>
    <w:p>
      <w:pPr>
        <w:numPr>
          <w:ilvl w:val="0"/>
          <w:numId w:val="1003"/>
        </w:numPr>
        <w:pStyle w:val="Compact"/>
      </w:pPr>
      <w:r>
        <w:t xml:space="preserve">Disputes arising from this engagement shall be resolved through mediation in accordance with Moroccan civil law, with jurisdiction vested in the competent courts of Casablanca.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Morocco Casablanca</w:t>
      </w:r>
      <w:r>
        <w:t xml:space="preserve">.</w:t>
      </w:r>
    </w:p>
    <w:p>
      <w:pPr>
        <w:pStyle w:val="BodyText"/>
      </w:pPr>
      <w:r>
        <w:rPr>
          <w:bCs/>
          <w:b/>
        </w:rPr>
        <w:t xml:space="preserve">For the Service Provider</w:t>
      </w:r>
      <w:r>
        <w:br/>
      </w:r>
      <w:r>
        <w:t xml:space="preserve">Name: Dr. Karim Benjelloun</w:t>
      </w:r>
      <w:r>
        <w:br/>
      </w:r>
      <w:r>
        <w:t xml:space="preserve">Title: Professor of Applied Mathematics</w:t>
      </w:r>
      <w:r>
        <w:br/>
      </w:r>
      <w:r>
        <w:t xml:space="preserve">Signature &amp; Date: _________________________</w:t>
      </w:r>
    </w:p>
    <w:p>
      <w:pPr>
        <w:pStyle w:val="BodyText"/>
      </w:pPr>
      <w:r>
        <w:rPr>
          <w:bCs/>
          <w:b/>
        </w:rPr>
        <w:t xml:space="preserve">For the Client / Institution</w:t>
      </w:r>
      <w:r>
        <w:br/>
      </w:r>
      <w:r>
        <w:t xml:space="preserve">Name: Dr. Youssef El Amrani</w:t>
      </w:r>
      <w:r>
        <w:br/>
      </w:r>
      <w:r>
        <w:t xml:space="preserve">Title: Dean, Faculty of Sciences</w:t>
      </w:r>
      <w:r>
        <w:br/>
      </w:r>
      <w:r>
        <w:t xml:space="preserve">Signature &amp; Date: _________________________</w:t>
      </w:r>
    </w:p>
    <w:p>
      <w:pPr>
        <w:pStyle w:val="BodyText"/>
      </w:pPr>
      <w:r>
        <w:t xml:space="preserve">This Quotation Estimate QE-2025-CAS-0472 was prepared for the engagement of a Professor in Morocco Casablanca.</w:t>
      </w:r>
      <w:r>
        <w:br/>
      </w:r>
      <w:r>
        <w:t xml:space="preserve">Academic &amp; Professional Services Division | 12 Boulevard Mohammed V, Casablanca 20250, Morocco</w:t>
      </w:r>
      <w:r>
        <w:br/>
      </w: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Morocco Casablanca</dc:title>
  <dc:creator/>
  <dc:language>en</dc:language>
  <cp:keywords/>
  <dcterms:created xsi:type="dcterms:W3CDTF">2026-10-10T02:34:26Z</dcterms:created>
  <dcterms:modified xsi:type="dcterms:W3CDTF">2026-10-10T02:34:26Z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