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Academic &amp; Professional Services – Professor Engagement</w:t>
      </w:r>
    </w:p>
    <w:p>
      <w:pPr>
        <w:pStyle w:val="BodyText"/>
      </w:pPr>
      <w:r>
        <w:t xml:space="preserve">Amsterdam University Consultancy Group</w:t>
      </w:r>
      <w:r>
        <w:br/>
      </w:r>
      <w:r>
        <w:t xml:space="preserve">Keizersgracht 420, 1016 GC Amsterdam, Netherlands</w:t>
      </w:r>
      <w:r>
        <w:br/>
      </w:r>
      <w:r>
        <w:t xml:space="preserve">Tel: +31 (0)20 555 0142 | Email: quotations@aucg-amsterdam.nl</w:t>
      </w:r>
      <w:r>
        <w:br/>
      </w:r>
      <w:r>
        <w:t xml:space="preserve">KvK: 87654321 | BTW: NL861234567B01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QTE-2025-AMST-0472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For</w:t>
            </w:r>
          </w:p>
        </w:tc>
        <w:tc>
          <w:tcPr/>
          <w:p>
            <w:pPr>
              <w:pStyle w:val="Compact"/>
              <w:jc w:val="left"/>
            </w:pPr>
            <w:r>
              <w:t xml:space="preserve">Dr. Hendrik van der Berg, Director of Research, Vrije Universiteit Amsterdam</w:t>
            </w:r>
          </w:p>
        </w:tc>
        <w:tc>
          <w:tcPr/>
          <w:p>
            <w:pPr>
              <w:pStyle w:val="Compact"/>
              <w:jc w:val="left"/>
            </w:pPr>
            <w:r>
              <w:t xml:space="preserve">Contact Person</w:t>
            </w:r>
          </w:p>
        </w:tc>
        <w:tc>
          <w:tcPr/>
          <w:p>
            <w:pPr>
              <w:pStyle w:val="Compact"/>
              <w:jc w:val="left"/>
            </w:pPr>
            <w:r>
              <w:t xml:space="preserve">Prof. Dr. Margarethe J. de Vries</w:t>
            </w:r>
          </w:p>
        </w:tc>
      </w:tr>
      <w:tr>
        <w:tc>
          <w:tcPr/>
          <w:p>
            <w:pPr>
              <w:pStyle w:val="Compact"/>
              <w:jc w:val="left"/>
            </w:pPr>
            <w:r>
              <w:t xml:space="preserve">Project Reference</w:t>
            </w:r>
          </w:p>
        </w:tc>
        <w:tc>
          <w:tcPr/>
          <w:p>
            <w:pPr>
              <w:pStyle w:val="Compact"/>
              <w:jc w:val="left"/>
            </w:pPr>
            <w:r>
              <w:t xml:space="preserve">Interdisciplinary Research Collaboration – Faculty of Science</w:t>
            </w:r>
          </w:p>
        </w:tc>
        <w:tc>
          <w:tcPr/>
          <w:p>
            <w:pPr>
              <w:pStyle w:val="Compact"/>
              <w:jc w:val="left"/>
            </w:pPr>
            <w:r>
              <w:t xml:space="preserve">Location of Services</w:t>
            </w:r>
          </w:p>
        </w:tc>
        <w:tc>
          <w:tcPr/>
          <w:p>
            <w:pPr>
              <w:pStyle w:val="Compact"/>
              <w:jc w:val="left"/>
            </w:pPr>
            <w:r>
              <w:t xml:space="preserve">Netherlands Amsterdam (De Boelelaan 1105, 1081 HV)</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issued by Amsterdam University Consultancy Group (AUCG) in response to the formal request submitted by Vrije Universiteit Amsterdam for the engagement of a senior</w:t>
      </w:r>
      <w:r>
        <w:t xml:space="preserve"> </w:t>
      </w:r>
      <w:r>
        <w:t xml:space="preserve">Professor</w:t>
      </w:r>
      <w:r>
        <w:t xml:space="preserve"> </w:t>
      </w:r>
      <w:r>
        <w:t xml:space="preserve">to deliver a comprehensive programme of academic services within the</w:t>
      </w:r>
      <w:r>
        <w:t xml:space="preserve"> </w:t>
      </w:r>
      <w:r>
        <w:t xml:space="preserve">Netherlands Amsterdam</w:t>
      </w:r>
      <w:r>
        <w:t xml:space="preserve"> </w:t>
      </w:r>
      <w:r>
        <w:t xml:space="preserve">metropolitan area. The scope of this engagement encompasses guest lecturing, doctoral supervision, peer review of research publications, and participation in interdisciplinary research workshops. All services described herein are to be performed in accordance with the academic standards and regulatory frameworks established by the Dutch Association of Universities (NVAO) and the specific institutional policies of the host institution in Amsterdam.</w:t>
      </w:r>
    </w:p>
    <w:p>
      <w:pPr>
        <w:pStyle w:val="BodyText"/>
      </w:pPr>
      <w:r>
        <w:t xml:space="preserve">The</w:t>
      </w:r>
      <w:r>
        <w:t xml:space="preserve"> </w:t>
      </w:r>
      <w:r>
        <w:t xml:space="preserve">Professor</w:t>
      </w:r>
      <w:r>
        <w:t xml:space="preserve"> </w:t>
      </w:r>
      <w:r>
        <w:t xml:space="preserve">engaged under this Quotation Estimate shall be a full-time tenured academic holding a habilitation or equivalent senior appointment, with a minimum of fifteen (15) years of post-doctoral experience in the relevant field. The Professor will be based in the Netherlands Amsterdam region for the duration of the engagement and will be available for on-site presence at the designated university campus no fewer than three (3) days per week.</w:t>
      </w:r>
    </w:p>
    <w:bookmarkEnd w:id="21"/>
    <w:bookmarkStart w:id="22" w:name="itemised-breakdown-of-services-and-costs"/>
    <w:p>
      <w:pPr>
        <w:pStyle w:val="Heading2"/>
      </w:pPr>
      <w:r>
        <w:t xml:space="preserve">2. Itemised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Guest Lecturing – Advanced Quantum Physics (12-hour course per semester, delivered in English and Dutch)</w:t>
            </w:r>
          </w:p>
        </w:tc>
        <w:tc>
          <w:tcPr/>
          <w:p>
            <w:pPr>
              <w:pStyle w:val="Compact"/>
              <w:jc w:val="left"/>
            </w:pPr>
            <w:r>
              <w:t xml:space="preserve">2 semesters</w:t>
            </w:r>
          </w:p>
        </w:tc>
        <w:tc>
          <w:tcPr/>
          <w:p>
            <w:pPr>
              <w:pStyle w:val="Compact"/>
              <w:jc w:val="left"/>
            </w:pPr>
            <w:r>
              <w:t xml:space="preserve">€ 320 / hour</w:t>
            </w:r>
          </w:p>
        </w:tc>
        <w:tc>
          <w:tcPr/>
          <w:p>
            <w:pPr>
              <w:pStyle w:val="Compact"/>
              <w:jc w:val="left"/>
            </w:pPr>
            <w:r>
              <w:t xml:space="preserve">€ 7,680.00</w:t>
            </w:r>
          </w:p>
        </w:tc>
        <w:tc>
          <w:tcPr/>
          <w:p>
            <w:pPr>
              <w:pStyle w:val="Compact"/>
              <w:jc w:val="left"/>
            </w:pPr>
            <w:r>
              <w:t xml:space="preserve">Incl. preparation</w:t>
            </w:r>
          </w:p>
        </w:tc>
      </w:tr>
      <w:tr>
        <w:tc>
          <w:tcPr/>
          <w:p>
            <w:pPr>
              <w:pStyle w:val="Compact"/>
              <w:jc w:val="left"/>
            </w:pPr>
            <w:r>
              <w:t xml:space="preserve">02</w:t>
            </w:r>
          </w:p>
        </w:tc>
        <w:tc>
          <w:tcPr/>
          <w:p>
            <w:pPr>
              <w:pStyle w:val="Compact"/>
              <w:jc w:val="left"/>
            </w:pPr>
            <w:r>
              <w:t xml:space="preserve">Doctoral Supervision – Primary supervisor for 3 PhD candidates (bi-weekly meetings, thesis review, progress reporting)</w:t>
            </w:r>
          </w:p>
        </w:tc>
        <w:tc>
          <w:tcPr/>
          <w:p>
            <w:pPr>
              <w:pStyle w:val="Compact"/>
              <w:jc w:val="left"/>
            </w:pPr>
            <w:r>
              <w:t xml:space="preserve">24 months</w:t>
            </w:r>
          </w:p>
        </w:tc>
        <w:tc>
          <w:tcPr/>
          <w:p>
            <w:pPr>
              <w:pStyle w:val="Compact"/>
              <w:jc w:val="left"/>
            </w:pPr>
            <w:r>
              <w:t xml:space="preserve">€ 1,200 / month</w:t>
            </w:r>
          </w:p>
        </w:tc>
        <w:tc>
          <w:tcPr/>
          <w:p>
            <w:pPr>
              <w:pStyle w:val="Compact"/>
              <w:jc w:val="left"/>
            </w:pPr>
            <w:r>
              <w:t xml:space="preserve">€ 28,800.00</w:t>
            </w:r>
          </w:p>
        </w:tc>
        <w:tc>
          <w:tcPr/>
          <w:p>
            <w:pPr>
              <w:pStyle w:val="Compact"/>
              <w:jc w:val="left"/>
            </w:pPr>
            <w:r>
              <w:t xml:space="preserve">Per candidate group</w:t>
            </w:r>
          </w:p>
        </w:tc>
      </w:tr>
      <w:tr>
        <w:tc>
          <w:tcPr/>
          <w:p>
            <w:pPr>
              <w:pStyle w:val="Compact"/>
              <w:jc w:val="left"/>
            </w:pPr>
            <w:r>
              <w:t xml:space="preserve">03</w:t>
            </w:r>
          </w:p>
        </w:tc>
        <w:tc>
          <w:tcPr/>
          <w:p>
            <w:pPr>
              <w:pStyle w:val="Compact"/>
              <w:jc w:val="left"/>
            </w:pPr>
            <w:r>
              <w:t xml:space="preserve">Peer Review and Editorial Consultancy – Review of 12 journal manuscripts and 4 conference proceedings</w:t>
            </w:r>
          </w:p>
        </w:tc>
        <w:tc>
          <w:tcPr/>
          <w:p>
            <w:pPr>
              <w:pStyle w:val="Compact"/>
              <w:jc w:val="left"/>
            </w:pPr>
            <w:r>
              <w:t xml:space="preserve">6 months</w:t>
            </w:r>
          </w:p>
        </w:tc>
        <w:tc>
          <w:tcPr/>
          <w:p>
            <w:pPr>
              <w:pStyle w:val="Compact"/>
              <w:jc w:val="left"/>
            </w:pPr>
            <w:r>
              <w:t xml:space="preserve">€ 450 / review</w:t>
            </w:r>
          </w:p>
        </w:tc>
        <w:tc>
          <w:tcPr/>
          <w:p>
            <w:pPr>
              <w:pStyle w:val="Compact"/>
              <w:jc w:val="left"/>
            </w:pPr>
            <w:r>
              <w:t xml:space="preserve">€ 7,200.00</w:t>
            </w:r>
          </w:p>
        </w:tc>
        <w:tc>
          <w:tcPr/>
          <w:p>
            <w:pPr>
              <w:pStyle w:val="Compact"/>
              <w:jc w:val="left"/>
            </w:pPr>
            <w:r>
              <w:t xml:space="preserve">Double-blind</w:t>
            </w:r>
          </w:p>
        </w:tc>
      </w:tr>
      <w:tr>
        <w:tc>
          <w:tcPr/>
          <w:p>
            <w:pPr>
              <w:pStyle w:val="Compact"/>
              <w:jc w:val="left"/>
            </w:pPr>
            <w:r>
              <w:t xml:space="preserve">04</w:t>
            </w:r>
          </w:p>
        </w:tc>
        <w:tc>
          <w:tcPr/>
          <w:p>
            <w:pPr>
              <w:pStyle w:val="Compact"/>
              <w:jc w:val="left"/>
            </w:pPr>
            <w:r>
              <w:t xml:space="preserve">Interdisciplinary Research Workshop Facilitation – 4 half-day workshops in Netherlands Amsterdam (De Boelelaan campus)</w:t>
            </w:r>
          </w:p>
        </w:tc>
        <w:tc>
          <w:tcPr/>
          <w:p>
            <w:pPr>
              <w:pStyle w:val="Compact"/>
              <w:jc w:val="left"/>
            </w:pPr>
            <w:r>
              <w:t xml:space="preserve">4 sessions</w:t>
            </w:r>
          </w:p>
        </w:tc>
        <w:tc>
          <w:tcPr/>
          <w:p>
            <w:pPr>
              <w:pStyle w:val="Compact"/>
              <w:jc w:val="left"/>
            </w:pPr>
            <w:r>
              <w:t xml:space="preserve">€ 1,800 / session</w:t>
            </w:r>
          </w:p>
        </w:tc>
        <w:tc>
          <w:tcPr/>
          <w:p>
            <w:pPr>
              <w:pStyle w:val="Compact"/>
              <w:jc w:val="left"/>
            </w:pPr>
            <w:r>
              <w:t xml:space="preserve">€ 7,200.00</w:t>
            </w:r>
          </w:p>
        </w:tc>
        <w:tc>
          <w:tcPr/>
          <w:p>
            <w:pPr>
              <w:pStyle w:val="Compact"/>
              <w:jc w:val="left"/>
            </w:pPr>
            <w:r>
              <w:t xml:space="preserve">Incl. materials</w:t>
            </w:r>
          </w:p>
        </w:tc>
      </w:tr>
      <w:tr>
        <w:tc>
          <w:tcPr/>
          <w:p>
            <w:pPr>
              <w:pStyle w:val="Compact"/>
              <w:jc w:val="left"/>
            </w:pPr>
            <w:r>
              <w:t xml:space="preserve">05</w:t>
            </w:r>
          </w:p>
        </w:tc>
        <w:tc>
          <w:tcPr/>
          <w:p>
            <w:pPr>
              <w:pStyle w:val="Compact"/>
              <w:jc w:val="left"/>
            </w:pPr>
            <w:r>
              <w:t xml:space="preserve">Curriculum Development and Accreditation Support – Design of new MSc programme module, NVAO compliance documentation</w:t>
            </w:r>
          </w:p>
        </w:tc>
        <w:tc>
          <w:tcPr/>
          <w:p>
            <w:pPr>
              <w:pStyle w:val="Compact"/>
              <w:jc w:val="left"/>
            </w:pPr>
            <w:r>
              <w:t xml:space="preserve">3 months</w:t>
            </w:r>
          </w:p>
        </w:tc>
        <w:tc>
          <w:tcPr/>
          <w:p>
            <w:pPr>
              <w:pStyle w:val="Compact"/>
              <w:jc w:val="left"/>
            </w:pPr>
            <w:r>
              <w:t xml:space="preserve">€ 2,500 / month</w:t>
            </w:r>
          </w:p>
        </w:tc>
        <w:tc>
          <w:tcPr/>
          <w:p>
            <w:pPr>
              <w:pStyle w:val="Compact"/>
              <w:jc w:val="left"/>
            </w:pPr>
            <w:r>
              <w:t xml:space="preserve">€ 7,500.00</w:t>
            </w:r>
          </w:p>
        </w:tc>
        <w:tc>
          <w:tcPr/>
          <w:p>
            <w:pPr>
              <w:pStyle w:val="Compact"/>
              <w:jc w:val="left"/>
            </w:pPr>
            <w:r>
              <w:t xml:space="preserve">Fixed fee</w:t>
            </w:r>
          </w:p>
        </w:tc>
      </w:tr>
      <w:tr>
        <w:tc>
          <w:tcPr/>
          <w:p>
            <w:pPr>
              <w:pStyle w:val="Compact"/>
              <w:jc w:val="left"/>
            </w:pPr>
            <w:r>
              <w:t xml:space="preserve">06</w:t>
            </w:r>
          </w:p>
        </w:tc>
        <w:tc>
          <w:tcPr/>
          <w:p>
            <w:pPr>
              <w:pStyle w:val="Compact"/>
              <w:jc w:val="left"/>
            </w:pPr>
            <w:r>
              <w:t xml:space="preserve">Travel and Local Transport within Netherlands Amsterdam (public transport, parking at university garage)</w:t>
            </w:r>
          </w:p>
        </w:tc>
        <w:tc>
          <w:tcPr/>
          <w:p>
            <w:pPr>
              <w:pStyle w:val="Compact"/>
              <w:jc w:val="left"/>
            </w:pPr>
            <w:r>
              <w:t xml:space="preserve">24 months</w:t>
            </w:r>
          </w:p>
        </w:tc>
        <w:tc>
          <w:tcPr/>
          <w:p>
            <w:pPr>
              <w:pStyle w:val="Compact"/>
              <w:jc w:val="left"/>
            </w:pPr>
            <w:r>
              <w:t xml:space="preserve">€ 150 / month</w:t>
            </w:r>
          </w:p>
        </w:tc>
        <w:tc>
          <w:tcPr/>
          <w:p>
            <w:pPr>
              <w:pStyle w:val="Compact"/>
              <w:jc w:val="left"/>
            </w:pPr>
            <w:r>
              <w:t xml:space="preserve">€ 3,600.00</w:t>
            </w:r>
          </w:p>
        </w:tc>
        <w:tc>
          <w:tcPr/>
          <w:p>
            <w:pPr>
              <w:pStyle w:val="Compact"/>
              <w:jc w:val="left"/>
            </w:pPr>
            <w:r>
              <w:t xml:space="preserve">Reimbursable</w:t>
            </w:r>
          </w:p>
        </w:tc>
      </w:tr>
      <w:tr>
        <w:tc>
          <w:tcPr/>
          <w:p>
            <w:pPr>
              <w:pStyle w:val="Compact"/>
              <w:jc w:val="left"/>
            </w:pPr>
            <w:r>
              <w:t xml:space="preserve">07</w:t>
            </w:r>
          </w:p>
        </w:tc>
        <w:tc>
          <w:tcPr/>
          <w:p>
            <w:pPr>
              <w:pStyle w:val="Compact"/>
              <w:jc w:val="left"/>
            </w:pPr>
            <w:r>
              <w:t xml:space="preserve">Administrative and Coordination Overhead (AUCG project management, invoicing, compliance)</w:t>
            </w:r>
          </w:p>
        </w:tc>
        <w:tc>
          <w:tcPr/>
          <w:p>
            <w:pPr>
              <w:pStyle w:val="Compact"/>
              <w:jc w:val="left"/>
            </w:pPr>
            <w:r>
              <w:t xml:space="preserve">24 months</w:t>
            </w:r>
          </w:p>
        </w:tc>
        <w:tc>
          <w:tcPr/>
          <w:p>
            <w:pPr>
              <w:pStyle w:val="Compact"/>
              <w:jc w:val="left"/>
            </w:pPr>
            <w:r>
              <w:t xml:space="preserve">€ 800 / month</w:t>
            </w:r>
          </w:p>
        </w:tc>
        <w:tc>
          <w:tcPr/>
          <w:p>
            <w:pPr>
              <w:pStyle w:val="Compact"/>
              <w:jc w:val="left"/>
            </w:pPr>
            <w:r>
              <w:t xml:space="preserve">€ 19,200.00</w:t>
            </w:r>
          </w:p>
        </w:tc>
        <w:tc>
          <w:tcPr/>
          <w:p>
            <w:pPr>
              <w:pStyle w:val="Compact"/>
              <w:jc w:val="left"/>
            </w:pPr>
            <w:r>
              <w:t xml:space="preserve">10% of subtotal</w:t>
            </w:r>
          </w:p>
        </w:tc>
      </w:tr>
      <w:tr>
        <w:tc>
          <w:tcPr>
            <w:gridSpan w:val="4"/>
          </w:tcPr>
          <w:p>
            <w:pPr>
              <w:pStyle w:val="Compact"/>
              <w:jc w:val="left"/>
            </w:pPr>
            <w:r>
              <w:t xml:space="preserve">Subtotal (excl. BTW / VAT)</w:t>
            </w:r>
          </w:p>
        </w:tc>
        <w:tc>
          <w:tcPr/>
          <w:p>
            <w:pPr>
              <w:pStyle w:val="Compact"/>
              <w:jc w:val="left"/>
            </w:pPr>
            <w:r>
              <w:t xml:space="preserve">€ 81,180.00</w:t>
            </w:r>
          </w:p>
        </w:tc>
        <w:tc>
          <w:tcPr/>
          <w:p>
            <w:pPr>
              <w:pStyle w:val="Compact"/>
            </w:pPr>
          </w:p>
        </w:tc>
      </w:tr>
      <w:tr>
        <w:tc>
          <w:tcPr>
            <w:gridSpan w:val="4"/>
          </w:tcPr>
          <w:p>
            <w:pPr>
              <w:pStyle w:val="Compact"/>
              <w:jc w:val="left"/>
            </w:pPr>
            <w:r>
              <w:t xml:space="preserve">BTW / VAT (21% – Netherlands standard rate)</w:t>
            </w:r>
          </w:p>
        </w:tc>
        <w:tc>
          <w:tcPr/>
          <w:p>
            <w:pPr>
              <w:pStyle w:val="Compact"/>
              <w:jc w:val="left"/>
            </w:pPr>
            <w:r>
              <w:t xml:space="preserve">€ 17,047.80</w:t>
            </w:r>
          </w:p>
        </w:tc>
        <w:tc>
          <w:tcPr/>
          <w:p>
            <w:pPr>
              <w:pStyle w:val="Compact"/>
            </w:pPr>
          </w:p>
        </w:tc>
      </w:tr>
      <w:tr>
        <w:tc>
          <w:tcPr>
            <w:gridSpan w:val="4"/>
          </w:tcPr>
          <w:p>
            <w:pPr>
              <w:pStyle w:val="Compact"/>
              <w:jc w:val="left"/>
            </w:pPr>
            <w:r>
              <w:t xml:space="preserve">TOTAL AMOUNT DUE (incl. BTW)</w:t>
            </w:r>
          </w:p>
        </w:tc>
        <w:tc>
          <w:tcPr/>
          <w:p>
            <w:pPr>
              <w:pStyle w:val="Compact"/>
              <w:jc w:val="left"/>
            </w:pPr>
            <w:r>
              <w:t xml:space="preserve">€ 98,227.80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After this period, all rates and availability of the Professor must be reconfirmed in writing.</w:t>
      </w:r>
    </w:p>
    <w:p>
      <w:pPr>
        <w:numPr>
          <w:ilvl w:val="0"/>
          <w:numId w:val="1001"/>
        </w:numPr>
        <w:pStyle w:val="Compact"/>
      </w:pPr>
      <w:r>
        <w:rPr>
          <w:bCs/>
          <w:b/>
        </w:rPr>
        <w:t xml:space="preserve">Payment Terms:</w:t>
      </w:r>
      <w:r>
        <w:t xml:space="preserve"> </w:t>
      </w:r>
      <w:r>
        <w:t xml:space="preserve">Invoices shall be issued on a monthly basis in arrears. Payment is due within thirty (30) days of the invoice date via bank transfer to the AUCG account at ING Bank, Amsterdam (IBAN: NL91 INGB 0000 0000 00). Late payments shall accrue interest at the statutory Dutch rate (wettelijke rente) as defined in Article 6:119a of the Dutch Civil Code (Burgerlijk Wetboek).</w:t>
      </w:r>
    </w:p>
    <w:p>
      <w:pPr>
        <w:numPr>
          <w:ilvl w:val="0"/>
          <w:numId w:val="1001"/>
        </w:numPr>
        <w:pStyle w:val="Compact"/>
      </w:pPr>
      <w:r>
        <w:rPr>
          <w:bCs/>
          <w:b/>
        </w:rPr>
        <w:t xml:space="preserve">Intellectual Property:</w:t>
      </w:r>
      <w:r>
        <w:t xml:space="preserve"> </w:t>
      </w:r>
      <w:r>
        <w:t xml:space="preserve">All research outputs, lecture materials, and curricula developed by the Professor during the engagement shall be jointly owned by AUCG and Vrije Universiteit Amsterdam, unless otherwise agreed in a separate Intellectual Property Addendum.</w:t>
      </w:r>
    </w:p>
    <w:p>
      <w:pPr>
        <w:numPr>
          <w:ilvl w:val="0"/>
          <w:numId w:val="1001"/>
        </w:numPr>
        <w:pStyle w:val="Compact"/>
      </w:pPr>
      <w:r>
        <w:rPr>
          <w:bCs/>
          <w:b/>
        </w:rPr>
        <w:t xml:space="preserve">Confidentiality:</w:t>
      </w:r>
      <w:r>
        <w:t xml:space="preserve"> </w:t>
      </w:r>
      <w:r>
        <w:t xml:space="preserve">The Professor and all AUCG personnel shall adhere to strict confidentiality obligations in accordance with the Dutch Data Protection Act (Uitvoeringswet AVG) and the General Data Protection Regulation (GDPR) as applicable in the Netherlands.</w:t>
      </w:r>
    </w:p>
    <w:p>
      <w:pPr>
        <w:numPr>
          <w:ilvl w:val="0"/>
          <w:numId w:val="1001"/>
        </w:numPr>
        <w:pStyle w:val="Compact"/>
      </w:pPr>
      <w:r>
        <w:rPr>
          <w:bCs/>
          <w:b/>
        </w:rPr>
        <w:t xml:space="preserve">Termination:</w:t>
      </w:r>
      <w:r>
        <w:t xml:space="preserve"> </w:t>
      </w:r>
      <w:r>
        <w:t xml:space="preserve">Either party may terminate the engagement with a written notice period of sixty (60) days. In the event of early termination, all services rendered up to the termination date shall be invoiced in full.</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pandemics, or government-imposed restrictions within the Netherlands Amsterdam region.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Netherlands. Any disputes shall be submitted to the competent courts of Amsterdam, Netherlands.</w:t>
      </w:r>
    </w:p>
    <w:p>
      <w:pPr>
        <w:numPr>
          <w:ilvl w:val="0"/>
          <w:numId w:val="1001"/>
        </w:numPr>
        <w:pStyle w:val="Compact"/>
      </w:pPr>
      <w:r>
        <w:rPr>
          <w:bCs/>
          <w:b/>
        </w:rPr>
        <w:t xml:space="preserve">Compliance:</w:t>
      </w:r>
      <w:r>
        <w:t xml:space="preserve"> </w:t>
      </w:r>
      <w:r>
        <w:t xml:space="preserve">The Professor shall comply with all applicable Dutch academic regulations, including those set by the NVAO, the Dutch Research Council (NWO), and the specific code of conduct of the host institution in Amsterdam.</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the terms, conditions, and pricing set forth in this Quotation Estimate. Upon acceptance, this document shall serve as the basis for the formal service agreement between the parties. The Professor's engagement in the Netherlands Amsterdam area shall commence on the date specified in the subsequent contract or, if no specific date is stated, within fourteen (14) days of the acceptance date.</w:t>
      </w:r>
    </w:p>
    <w:p>
      <w:pPr>
        <w:pStyle w:val="BodyText"/>
      </w:pPr>
      <w:r>
        <w:rPr>
          <w:bCs/>
          <w:b/>
        </w:rPr>
        <w:t xml:space="preserve">For Amsterdam University Consultancy Group</w:t>
      </w:r>
    </w:p>
    <w:p>
      <w:pPr>
        <w:pStyle w:val="BodyText"/>
      </w:pPr>
      <w:r>
        <w:t xml:space="preserve">Name: Prof. Dr. Margarethe J. de Vries</w:t>
      </w:r>
    </w:p>
    <w:p>
      <w:pPr>
        <w:pStyle w:val="BodyText"/>
      </w:pPr>
      <w:r>
        <w:t xml:space="preserve">Title: Director of Academic Services</w:t>
      </w:r>
    </w:p>
    <w:p>
      <w:pPr>
        <w:pStyle w:val="BodyText"/>
      </w:pPr>
      <w:r>
        <w:t xml:space="preserve">Date: ____________________</w:t>
      </w:r>
    </w:p>
    <w:p>
      <w:pPr>
        <w:pStyle w:val="BodyText"/>
      </w:pPr>
      <w:r>
        <w:t xml:space="preserve">Signature: ____________________</w:t>
      </w:r>
    </w:p>
    <w:p>
      <w:pPr>
        <w:pStyle w:val="BodyText"/>
      </w:pPr>
      <w:r>
        <w:rPr>
          <w:bCs/>
          <w:b/>
        </w:rPr>
        <w:t xml:space="preserve">For Vrije Universiteit Amsterdam (Client)</w:t>
      </w:r>
    </w:p>
    <w:p>
      <w:pPr>
        <w:pStyle w:val="BodyText"/>
      </w:pPr>
      <w:r>
        <w:t xml:space="preserve">Name: Dr. Hendrik van der Berg</w:t>
      </w:r>
    </w:p>
    <w:p>
      <w:pPr>
        <w:pStyle w:val="BodyText"/>
      </w:pPr>
      <w:r>
        <w:t xml:space="preserve">Title: Director of Research</w:t>
      </w:r>
    </w:p>
    <w:p>
      <w:pPr>
        <w:pStyle w:val="BodyText"/>
      </w:pPr>
      <w:r>
        <w:t xml:space="preserve">Date: ____________________</w:t>
      </w:r>
    </w:p>
    <w:p>
      <w:pPr>
        <w:pStyle w:val="BodyText"/>
      </w:pPr>
      <w:r>
        <w:t xml:space="preserve">Signature: ____________________</w:t>
      </w:r>
    </w:p>
    <w:p>
      <w:pPr>
        <w:pStyle w:val="BodyText"/>
      </w:pPr>
      <w:r>
        <w:t xml:space="preserve">This Quotation Estimate was prepared exclusively for the named client and may not be reproduced or distributed without prior written consent from Amsterdam University Consultancy Group.</w:t>
      </w:r>
      <w:r>
        <w:br/>
      </w:r>
      <w:r>
        <w:t xml:space="preserve">Document Reference: QTE-2025-AMST-0472 | Page 1 of 1 | Generated: 14 June 2025</w:t>
      </w:r>
      <w:r>
        <w:br/>
      </w:r>
      <w:r>
        <w:t xml:space="preserve">Amsterdam University Consultancy Group – Keizersgracht 420, 1016 GC Amsterdam, Netherlands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Netherlands Amsterdam</dc:title>
  <dc:creator/>
  <dc:language>en</dc:language>
  <cp:keywords/>
  <dcterms:created xsi:type="dcterms:W3CDTF">2026-10-10T02:31:01Z</dcterms:created>
  <dcterms:modified xsi:type="dcterms:W3CDTF">2026-10-10T02:31:01Z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