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Academic Services — Professor Engagement — Peru Lima</w:t>
      </w:r>
    </w:p>
    <w:p>
      <w:pPr>
        <w:pStyle w:val="BodyText"/>
      </w:pPr>
      <w:r>
        <w:t xml:space="preserve">Document Reference: QE-PL-2025-0847 | Issued in Lima, Peru</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QE-PL-2025-0847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Currency:</w:t>
            </w:r>
          </w:p>
        </w:tc>
        <w:tc>
          <w:tcPr/>
          <w:p>
            <w:pPr>
              <w:pStyle w:val="Compact"/>
              <w:jc w:val="left"/>
            </w:pPr>
            <w:r>
              <w:t xml:space="preserve">Peruvian Sol (PEN) / US Dollars (USD)</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Academic Services Division</w:t>
            </w:r>
          </w:p>
        </w:tc>
      </w:tr>
      <w:tr>
        <w:tc>
          <w:tcPr/>
          <w:p>
            <w:pPr>
              <w:pStyle w:val="Compact"/>
              <w:jc w:val="left"/>
            </w:pPr>
            <w:r>
              <w:t xml:space="preserve">Location:</w:t>
            </w:r>
          </w:p>
        </w:tc>
        <w:tc>
          <w:tcPr/>
          <w:p>
            <w:pPr>
              <w:pStyle w:val="Compact"/>
              <w:jc w:val="left"/>
            </w:pPr>
            <w:r>
              <w:t xml:space="preserve">Lima, Peru</w:t>
            </w:r>
          </w:p>
        </w:tc>
      </w:tr>
      <w:tr>
        <w:tc>
          <w:tcPr/>
          <w:p>
            <w:pPr>
              <w:pStyle w:val="Compact"/>
              <w:jc w:val="left"/>
            </w:pPr>
            <w:r>
              <w:t xml:space="preserve">Contact:</w:t>
            </w:r>
          </w:p>
        </w:tc>
        <w:tc>
          <w:tcPr/>
          <w:p>
            <w:pPr>
              <w:pStyle w:val="Compact"/>
              <w:jc w:val="left"/>
            </w:pPr>
            <w:r>
              <w:t xml:space="preserve">quotation@academiclima.pe</w:t>
            </w:r>
          </w:p>
        </w:tc>
      </w:tr>
      <w:tr>
        <w:tc>
          <w:tcPr/>
          <w:p>
            <w:pPr>
              <w:pStyle w:val="Compact"/>
              <w:jc w:val="left"/>
            </w:pPr>
            <w:r>
              <w:t xml:space="preserve">Phone:</w:t>
            </w:r>
          </w:p>
        </w:tc>
        <w:tc>
          <w:tcPr/>
          <w:p>
            <w:pPr>
              <w:pStyle w:val="Compact"/>
              <w:jc w:val="left"/>
            </w:pPr>
            <w:r>
              <w:t xml:space="preserve">+51 1 456-7890</w:t>
            </w:r>
          </w:p>
        </w:tc>
      </w:tr>
    </w:tbl>
    <w:p>
      <w:pPr>
        <w:pStyle w:val="BodyText"/>
      </w:pPr>
      <w:r>
        <w:t xml:space="preserve">1. Client Information</w:t>
      </w:r>
    </w:p>
    <w:p>
      <w:pPr>
        <w:pStyle w:val="BodyText"/>
      </w:pPr>
      <w:r>
        <w:rPr>
          <w:bCs/>
          <w:b/>
        </w:rPr>
        <w:t xml:space="preserve">Client Name:</w:t>
      </w:r>
      <w:r>
        <w:t xml:space="preserve"> </w:t>
      </w:r>
      <w:r>
        <w:t xml:space="preserve">Universidad Nacional de Ingeniería — Faculty of Engineering Sciences</w:t>
      </w:r>
    </w:p>
    <w:p>
      <w:pPr>
        <w:pStyle w:val="BodyText"/>
      </w:pPr>
      <w:r>
        <w:rPr>
          <w:bCs/>
          <w:b/>
        </w:rPr>
        <w:t xml:space="preserve">Address:</w:t>
      </w:r>
      <w:r>
        <w:t xml:space="preserve"> </w:t>
      </w:r>
      <w:r>
        <w:t xml:space="preserve">Av. España 1568, Miraflores, Lima, Peru</w:t>
      </w:r>
    </w:p>
    <w:p>
      <w:pPr>
        <w:pStyle w:val="BodyText"/>
      </w:pPr>
      <w:r>
        <w:rPr>
          <w:bCs/>
          <w:b/>
        </w:rPr>
        <w:t xml:space="preserve">Contact Person:</w:t>
      </w:r>
      <w:r>
        <w:t xml:space="preserve"> </w:t>
      </w:r>
      <w:r>
        <w:t xml:space="preserve">Dr. Ricardo Mendoza, Dean of the Faculty</w:t>
      </w:r>
    </w:p>
    <w:p>
      <w:pPr>
        <w:pStyle w:val="BodyText"/>
      </w:pPr>
      <w:r>
        <w:rPr>
          <w:bCs/>
          <w:b/>
        </w:rPr>
        <w:t xml:space="preserve">RUC:</w:t>
      </w:r>
      <w:r>
        <w:t xml:space="preserve"> </w:t>
      </w:r>
      <w:r>
        <w:t xml:space="preserve">20123456789</w:t>
      </w:r>
    </w:p>
    <w:p>
      <w:pPr>
        <w:pStyle w:val="BodyText"/>
      </w:pPr>
      <w:r>
        <w:rPr>
          <w:bCs/>
          <w:b/>
        </w:rPr>
        <w:t xml:space="preserve">Email:</w:t>
      </w:r>
      <w:r>
        <w:t xml:space="preserve"> </w:t>
      </w:r>
      <w:r>
        <w:t xml:space="preserve">r.mendoza@uni.edu.pe</w:t>
      </w:r>
    </w:p>
    <w:p>
      <w:pPr>
        <w:pStyle w:val="BodyText"/>
      </w:pPr>
      <w:r>
        <w:t xml:space="preserve">2. Purpose of This Quotation Estimate</w:t>
      </w:r>
    </w:p>
    <w:p>
      <w:pPr>
        <w:pStyle w:val="BodyText"/>
      </w:pPr>
      <w:r>
        <w:t xml:space="preserve">This</w:t>
      </w:r>
      <w:r>
        <w:t xml:space="preserve"> </w:t>
      </w:r>
      <w:r>
        <w:t xml:space="preserve">Quotation Estimate</w:t>
      </w:r>
      <w:r>
        <w:t xml:space="preserve"> </w:t>
      </w:r>
      <w:r>
        <w:t xml:space="preserve">is formally issued to provide a comprehensive and transparent breakdown of all costs associated with the engagement of a</w:t>
      </w:r>
      <w:r>
        <w:t xml:space="preserve"> </w:t>
      </w:r>
      <w:r>
        <w:t xml:space="preserve">Professor</w:t>
      </w:r>
      <w:r>
        <w:t xml:space="preserve"> </w:t>
      </w:r>
      <w:r>
        <w:t xml:space="preserve">for academic instruction, research supervision, and institutional advisory services within the academic and professional landscape of</w:t>
      </w:r>
      <w:r>
        <w:t xml:space="preserve"> </w:t>
      </w:r>
      <w:r>
        <w:t xml:space="preserve">Peru Lima</w:t>
      </w:r>
      <w:r>
        <w:t xml:space="preserve">. This document serves as a binding financial proposal for the period specified herein and is prepared in accordance with the regulatory framework established by the Ministry of Education of Peru (MINEDU) and the applicable labor and tax regulations of the Republic of Peru.</w:t>
      </w:r>
    </w:p>
    <w:p>
      <w:pPr>
        <w:pStyle w:val="BodyText"/>
      </w:pPr>
      <w:r>
        <w:t xml:space="preserve">The</w:t>
      </w:r>
      <w:r>
        <w:t xml:space="preserve"> </w:t>
      </w:r>
      <w:r>
        <w:t xml:space="preserve">Professor</w:t>
      </w:r>
      <w:r>
        <w:t xml:space="preserve"> </w:t>
      </w:r>
      <w:r>
        <w:t xml:space="preserve">services outlined in this</w:t>
      </w:r>
      <w:r>
        <w:t xml:space="preserve"> </w:t>
      </w:r>
      <w:r>
        <w:t xml:space="preserve">Quotation Estimate</w:t>
      </w:r>
      <w:r>
        <w:t xml:space="preserve"> </w:t>
      </w:r>
      <w:r>
        <w:t xml:space="preserve">are designed to meet the specific academic requirements of the requesting institution in</w:t>
      </w:r>
      <w:r>
        <w:t xml:space="preserve"> </w:t>
      </w:r>
      <w:r>
        <w:t xml:space="preserve">Peru Lima</w:t>
      </w:r>
      <w:r>
        <w:t xml:space="preserve">, ensuring compliance with national accreditation standards, university bylaws, and the professional development goals of the student body and faculty members.</w:t>
      </w:r>
    </w:p>
    <w:p>
      <w:pPr>
        <w:pStyle w:val="BodyText"/>
      </w:pPr>
      <w:r>
        <w:t xml:space="preserve">3. Scope of Professor Services</w:t>
      </w:r>
    </w:p>
    <w:p>
      <w:pPr>
        <w:pStyle w:val="BodyText"/>
      </w:pPr>
      <w:r>
        <w:t xml:space="preserve">The</w:t>
      </w:r>
      <w:r>
        <w:t xml:space="preserve"> </w:t>
      </w:r>
      <w:r>
        <w:t xml:space="preserve">Professor</w:t>
      </w:r>
      <w:r>
        <w:t xml:space="preserve"> </w:t>
      </w:r>
      <w:r>
        <w:t xml:space="preserve">engagement covered by this</w:t>
      </w:r>
      <w:r>
        <w:t xml:space="preserve"> </w:t>
      </w:r>
      <w:r>
        <w:t xml:space="preserve">Quotation Estimate</w:t>
      </w:r>
      <w:r>
        <w:t xml:space="preserve"> </w:t>
      </w:r>
      <w:r>
        <w:t xml:space="preserve">includes the following deliverables and responsibilities, all to be executed in</w:t>
      </w:r>
      <w:r>
        <w:t xml:space="preserve"> </w:t>
      </w:r>
      <w:r>
        <w:t xml:space="preserve">Peru Lima</w:t>
      </w:r>
      <w:r>
        <w:t xml:space="preserve">:</w:t>
      </w:r>
    </w:p>
    <w:p>
      <w:pPr>
        <w:numPr>
          <w:ilvl w:val="0"/>
          <w:numId w:val="1001"/>
        </w:numPr>
        <w:pStyle w:val="Compact"/>
      </w:pPr>
      <w:r>
        <w:rPr>
          <w:bCs/>
          <w:b/>
        </w:rPr>
        <w:t xml:space="preserve">Lectures and Seminars:</w:t>
      </w:r>
      <w:r>
        <w:t xml:space="preserve"> </w:t>
      </w:r>
      <w:r>
        <w:t xml:space="preserve">Delivery of 48 hours of in-person academic instruction per semester across two (2) undergraduate courses and one (1) graduate-level seminar, conducted at the institution's campus in Lima, Peru.</w:t>
      </w:r>
    </w:p>
    <w:p>
      <w:pPr>
        <w:numPr>
          <w:ilvl w:val="0"/>
          <w:numId w:val="1001"/>
        </w:numPr>
        <w:pStyle w:val="Compact"/>
      </w:pPr>
      <w:r>
        <w:rPr>
          <w:bCs/>
          <w:b/>
        </w:rPr>
        <w:t xml:space="preserve">Research Supervision:</w:t>
      </w:r>
      <w:r>
        <w:t xml:space="preserve"> </w:t>
      </w:r>
      <w:r>
        <w:t xml:space="preserve">Mentorship and academic guidance for a minimum of six (6) master's thesis candidates, including bi-weekly progress meetings and final thesis review.</w:t>
      </w:r>
    </w:p>
    <w:p>
      <w:pPr>
        <w:numPr>
          <w:ilvl w:val="0"/>
          <w:numId w:val="1001"/>
        </w:numPr>
        <w:pStyle w:val="Compact"/>
      </w:pPr>
      <w:r>
        <w:rPr>
          <w:bCs/>
          <w:b/>
        </w:rPr>
        <w:t xml:space="preserve">Curriculum Development:</w:t>
      </w:r>
      <w:r>
        <w:t xml:space="preserve"> </w:t>
      </w:r>
      <w:r>
        <w:t xml:space="preserve">Design and updating of course syllabi, learning objectives, and assessment rubrics aligned with the Peruvian national curriculum standards.</w:t>
      </w:r>
    </w:p>
    <w:p>
      <w:pPr>
        <w:numPr>
          <w:ilvl w:val="0"/>
          <w:numId w:val="1001"/>
        </w:numPr>
        <w:pStyle w:val="Compact"/>
      </w:pPr>
      <w:r>
        <w:rPr>
          <w:bCs/>
          <w:b/>
        </w:rPr>
        <w:t xml:space="preserve">Academic Advisory:</w:t>
      </w:r>
      <w:r>
        <w:t xml:space="preserve"> </w:t>
      </w:r>
      <w:r>
        <w:t xml:space="preserve">Participation in at least four (4) faculty committee meetings per semester to contribute to academic planning and institutional strategy in Peru Lima.</w:t>
      </w:r>
    </w:p>
    <w:p>
      <w:pPr>
        <w:numPr>
          <w:ilvl w:val="0"/>
          <w:numId w:val="1001"/>
        </w:numPr>
        <w:pStyle w:val="Compact"/>
      </w:pPr>
      <w:r>
        <w:rPr>
          <w:bCs/>
          <w:b/>
        </w:rPr>
        <w:t xml:space="preserve">Student Evaluation:</w:t>
      </w:r>
      <w:r>
        <w:t xml:space="preserve"> </w:t>
      </w:r>
      <w:r>
        <w:t xml:space="preserve">Grading, feedback provision, and academic advising for enrolled students throughout the academic term.</w:t>
      </w:r>
    </w:p>
    <w:p>
      <w:pPr>
        <w:numPr>
          <w:ilvl w:val="0"/>
          <w:numId w:val="1001"/>
        </w:numPr>
        <w:pStyle w:val="Compact"/>
      </w:pPr>
      <w:r>
        <w:rPr>
          <w:bCs/>
          <w:b/>
        </w:rPr>
        <w:t xml:space="preserve">Professional Development:</w:t>
      </w:r>
      <w:r>
        <w:t xml:space="preserve"> </w:t>
      </w:r>
      <w:r>
        <w:t xml:space="preserve">Organization and facilitation of two (2) workshops per semester for junior faculty members on pedagogical methodologies and research ethics.</w:t>
      </w:r>
    </w:p>
    <w:p>
      <w:pPr>
        <w:pStyle w:val="FirstParagraph"/>
      </w:pPr>
      <w:r>
        <w:t xml:space="preserve">4.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(PEN)</w:t>
            </w:r>
          </w:p>
        </w:tc>
        <w:tc>
          <w:tcPr/>
          <w:p>
            <w:pPr>
              <w:pStyle w:val="Compact"/>
              <w:jc w:val="left"/>
            </w:pPr>
            <w:r>
              <w:t xml:space="preserve">Subtotal (PEN)</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Professor hourly academic instruction fee (lectures, seminars, labs)</w:t>
            </w:r>
          </w:p>
        </w:tc>
        <w:tc>
          <w:tcPr/>
          <w:p>
            <w:pPr>
              <w:pStyle w:val="Compact"/>
              <w:jc w:val="left"/>
            </w:pPr>
            <w:r>
              <w:t xml:space="preserve">48 hours</w:t>
            </w:r>
          </w:p>
        </w:tc>
        <w:tc>
          <w:tcPr/>
          <w:p>
            <w:pPr>
              <w:pStyle w:val="Compact"/>
              <w:jc w:val="left"/>
            </w:pPr>
            <w:r>
              <w:t xml:space="preserve">S/ 350.00</w:t>
            </w:r>
          </w:p>
        </w:tc>
        <w:tc>
          <w:tcPr/>
          <w:p>
            <w:pPr>
              <w:pStyle w:val="Compact"/>
              <w:jc w:val="left"/>
            </w:pPr>
            <w:r>
              <w:t xml:space="preserve">S/ 16,800.00</w:t>
            </w:r>
          </w:p>
        </w:tc>
        <w:tc>
          <w:tcPr/>
          <w:p>
            <w:pPr>
              <w:pStyle w:val="Compact"/>
              <w:jc w:val="left"/>
            </w:pPr>
            <w:r>
              <w:t xml:space="preserve">US$ 4,620.00</w:t>
            </w:r>
          </w:p>
        </w:tc>
      </w:tr>
      <w:tr>
        <w:tc>
          <w:tcPr/>
          <w:p>
            <w:pPr>
              <w:pStyle w:val="Compact"/>
              <w:jc w:val="left"/>
            </w:pPr>
            <w:r>
              <w:t xml:space="preserve">2</w:t>
            </w:r>
          </w:p>
        </w:tc>
        <w:tc>
          <w:tcPr/>
          <w:p>
            <w:pPr>
              <w:pStyle w:val="Compact"/>
              <w:jc w:val="left"/>
            </w:pPr>
            <w:r>
              <w:t xml:space="preserve">Research supervision and thesis mentorship (per student)</w:t>
            </w:r>
          </w:p>
        </w:tc>
        <w:tc>
          <w:tcPr/>
          <w:p>
            <w:pPr>
              <w:pStyle w:val="Compact"/>
              <w:jc w:val="left"/>
            </w:pPr>
            <w:r>
              <w:t xml:space="preserve">6 students</w:t>
            </w:r>
          </w:p>
        </w:tc>
        <w:tc>
          <w:tcPr/>
          <w:p>
            <w:pPr>
              <w:pStyle w:val="Compact"/>
              <w:jc w:val="left"/>
            </w:pPr>
            <w:r>
              <w:t xml:space="preserve">S/ 2,500.00</w:t>
            </w:r>
          </w:p>
        </w:tc>
        <w:tc>
          <w:tcPr/>
          <w:p>
            <w:pPr>
              <w:pStyle w:val="Compact"/>
              <w:jc w:val="left"/>
            </w:pPr>
            <w:r>
              <w:t xml:space="preserve">S/ 15,000.00</w:t>
            </w:r>
          </w:p>
        </w:tc>
        <w:tc>
          <w:tcPr/>
          <w:p>
            <w:pPr>
              <w:pStyle w:val="Compact"/>
              <w:jc w:val="left"/>
            </w:pPr>
            <w:r>
              <w:t xml:space="preserve">US$ 4,125.00</w:t>
            </w:r>
          </w:p>
        </w:tc>
      </w:tr>
      <w:tr>
        <w:tc>
          <w:tcPr/>
          <w:p>
            <w:pPr>
              <w:pStyle w:val="Compact"/>
              <w:jc w:val="left"/>
            </w:pPr>
            <w:r>
              <w:t xml:space="preserve">3</w:t>
            </w:r>
          </w:p>
        </w:tc>
        <w:tc>
          <w:tcPr/>
          <w:p>
            <w:pPr>
              <w:pStyle w:val="Compact"/>
              <w:jc w:val="left"/>
            </w:pPr>
            <w:r>
              <w:t xml:space="preserve">Curriculum development and syllabus design</w:t>
            </w:r>
          </w:p>
        </w:tc>
        <w:tc>
          <w:tcPr/>
          <w:p>
            <w:pPr>
              <w:pStyle w:val="Compact"/>
              <w:jc w:val="left"/>
            </w:pPr>
            <w:r>
              <w:t xml:space="preserve">3 courses</w:t>
            </w:r>
          </w:p>
        </w:tc>
        <w:tc>
          <w:tcPr/>
          <w:p>
            <w:pPr>
              <w:pStyle w:val="Compact"/>
              <w:jc w:val="left"/>
            </w:pPr>
            <w:r>
              <w:t xml:space="preserve">S/ 1,800.00</w:t>
            </w:r>
          </w:p>
        </w:tc>
        <w:tc>
          <w:tcPr/>
          <w:p>
            <w:pPr>
              <w:pStyle w:val="Compact"/>
              <w:jc w:val="left"/>
            </w:pPr>
            <w:r>
              <w:t xml:space="preserve">S/ 5,400.00</w:t>
            </w:r>
          </w:p>
        </w:tc>
        <w:tc>
          <w:tcPr/>
          <w:p>
            <w:pPr>
              <w:pStyle w:val="Compact"/>
              <w:jc w:val="left"/>
            </w:pPr>
            <w:r>
              <w:t xml:space="preserve">US$ 1,485.00</w:t>
            </w:r>
          </w:p>
        </w:tc>
      </w:tr>
      <w:tr>
        <w:tc>
          <w:tcPr/>
          <w:p>
            <w:pPr>
              <w:pStyle w:val="Compact"/>
              <w:jc w:val="left"/>
            </w:pPr>
            <w:r>
              <w:t xml:space="preserve">4</w:t>
            </w:r>
          </w:p>
        </w:tc>
        <w:tc>
          <w:tcPr/>
          <w:p>
            <w:pPr>
              <w:pStyle w:val="Compact"/>
              <w:jc w:val="left"/>
            </w:pPr>
            <w:r>
              <w:t xml:space="preserve">Faculty committee participation and academic advisory</w:t>
            </w:r>
          </w:p>
        </w:tc>
        <w:tc>
          <w:tcPr/>
          <w:p>
            <w:pPr>
              <w:pStyle w:val="Compact"/>
              <w:jc w:val="left"/>
            </w:pPr>
            <w:r>
              <w:t xml:space="preserve">4 sessions</w:t>
            </w:r>
          </w:p>
        </w:tc>
        <w:tc>
          <w:tcPr/>
          <w:p>
            <w:pPr>
              <w:pStyle w:val="Compact"/>
              <w:jc w:val="left"/>
            </w:pPr>
            <w:r>
              <w:t xml:space="preserve">S/ 600.00</w:t>
            </w:r>
          </w:p>
        </w:tc>
        <w:tc>
          <w:tcPr/>
          <w:p>
            <w:pPr>
              <w:pStyle w:val="Compact"/>
              <w:jc w:val="left"/>
            </w:pPr>
            <w:r>
              <w:t xml:space="preserve">S/ 2,400.00</w:t>
            </w:r>
          </w:p>
        </w:tc>
        <w:tc>
          <w:tcPr/>
          <w:p>
            <w:pPr>
              <w:pStyle w:val="Compact"/>
              <w:jc w:val="left"/>
            </w:pPr>
            <w:r>
              <w:t xml:space="preserve">US$ 660.00</w:t>
            </w:r>
          </w:p>
        </w:tc>
      </w:tr>
      <w:tr>
        <w:tc>
          <w:tcPr/>
          <w:p>
            <w:pPr>
              <w:pStyle w:val="Compact"/>
              <w:jc w:val="left"/>
            </w:pPr>
            <w:r>
              <w:t xml:space="preserve">5</w:t>
            </w:r>
          </w:p>
        </w:tc>
        <w:tc>
          <w:tcPr/>
          <w:p>
            <w:pPr>
              <w:pStyle w:val="Compact"/>
              <w:jc w:val="left"/>
            </w:pPr>
            <w:r>
              <w:t xml:space="preserve">Professional development workshop facilitation</w:t>
            </w:r>
          </w:p>
        </w:tc>
        <w:tc>
          <w:tcPr/>
          <w:p>
            <w:pPr>
              <w:pStyle w:val="Compact"/>
              <w:jc w:val="left"/>
            </w:pPr>
            <w:r>
              <w:t xml:space="preserve">2 workshops</w:t>
            </w:r>
          </w:p>
        </w:tc>
        <w:tc>
          <w:tcPr/>
          <w:p>
            <w:pPr>
              <w:pStyle w:val="Compact"/>
              <w:jc w:val="left"/>
            </w:pPr>
            <w:r>
              <w:t xml:space="preserve">S/ 3,200.00</w:t>
            </w:r>
          </w:p>
        </w:tc>
        <w:tc>
          <w:tcPr/>
          <w:p>
            <w:pPr>
              <w:pStyle w:val="Compact"/>
              <w:jc w:val="left"/>
            </w:pPr>
            <w:r>
              <w:t xml:space="preserve">S/ 6,400.00</w:t>
            </w:r>
          </w:p>
        </w:tc>
        <w:tc>
          <w:tcPr/>
          <w:p>
            <w:pPr>
              <w:pStyle w:val="Compact"/>
              <w:jc w:val="left"/>
            </w:pPr>
            <w:r>
              <w:t xml:space="preserve">US$ 1,760.00</w:t>
            </w:r>
          </w:p>
        </w:tc>
      </w:tr>
      <w:tr>
        <w:tc>
          <w:tcPr/>
          <w:p>
            <w:pPr>
              <w:pStyle w:val="Compact"/>
              <w:jc w:val="left"/>
            </w:pPr>
            <w:r>
              <w:t xml:space="preserve">6</w:t>
            </w:r>
          </w:p>
        </w:tc>
        <w:tc>
          <w:tcPr/>
          <w:p>
            <w:pPr>
              <w:pStyle w:val="Compact"/>
              <w:jc w:val="left"/>
            </w:pPr>
            <w:r>
              <w:t xml:space="preserve">Travel and transportation within Lima, Peru (monthly allowance)</w:t>
            </w:r>
          </w:p>
        </w:tc>
        <w:tc>
          <w:tcPr/>
          <w:p>
            <w:pPr>
              <w:pStyle w:val="Compact"/>
              <w:jc w:val="left"/>
            </w:pPr>
            <w:r>
              <w:t xml:space="preserve">6 months</w:t>
            </w:r>
          </w:p>
        </w:tc>
        <w:tc>
          <w:tcPr/>
          <w:p>
            <w:pPr>
              <w:pStyle w:val="Compact"/>
              <w:jc w:val="left"/>
            </w:pPr>
            <w:r>
              <w:t xml:space="preserve">S/ 450.00</w:t>
            </w:r>
          </w:p>
        </w:tc>
        <w:tc>
          <w:tcPr/>
          <w:p>
            <w:pPr>
              <w:pStyle w:val="Compact"/>
              <w:jc w:val="left"/>
            </w:pPr>
            <w:r>
              <w:t xml:space="preserve">S/ 2,700.00</w:t>
            </w:r>
          </w:p>
        </w:tc>
        <w:tc>
          <w:tcPr/>
          <w:p>
            <w:pPr>
              <w:pStyle w:val="Compact"/>
              <w:jc w:val="left"/>
            </w:pPr>
            <w:r>
              <w:t xml:space="preserve">US$ 742.50</w:t>
            </w:r>
          </w:p>
        </w:tc>
      </w:tr>
      <w:tr>
        <w:tc>
          <w:tcPr/>
          <w:p>
            <w:pPr>
              <w:pStyle w:val="Compact"/>
              <w:jc w:val="left"/>
            </w:pPr>
            <w:r>
              <w:t xml:space="preserve">7</w:t>
            </w:r>
          </w:p>
        </w:tc>
        <w:tc>
          <w:tcPr/>
          <w:p>
            <w:pPr>
              <w:pStyle w:val="Compact"/>
              <w:jc w:val="left"/>
            </w:pPr>
            <w:r>
              <w:t xml:space="preserve">Materials, printing, and academic resource preparation</w:t>
            </w:r>
          </w:p>
        </w:tc>
        <w:tc>
          <w:tcPr/>
          <w:p>
            <w:pPr>
              <w:pStyle w:val="Compact"/>
              <w:jc w:val="left"/>
            </w:pPr>
            <w:r>
              <w:t xml:space="preserve">1 lot</w:t>
            </w:r>
          </w:p>
        </w:tc>
        <w:tc>
          <w:tcPr/>
          <w:p>
            <w:pPr>
              <w:pStyle w:val="Compact"/>
              <w:jc w:val="left"/>
            </w:pPr>
            <w:r>
              <w:t xml:space="preserve">S/ 1,200.00</w:t>
            </w:r>
          </w:p>
        </w:tc>
        <w:tc>
          <w:tcPr/>
          <w:p>
            <w:pPr>
              <w:pStyle w:val="Compact"/>
              <w:jc w:val="left"/>
            </w:pPr>
            <w:r>
              <w:t xml:space="preserve">S/ 1,200.00</w:t>
            </w:r>
          </w:p>
        </w:tc>
        <w:tc>
          <w:tcPr/>
          <w:p>
            <w:pPr>
              <w:pStyle w:val="Compact"/>
              <w:jc w:val="left"/>
            </w:pPr>
            <w:r>
              <w:t xml:space="preserve">US$ 330.00</w:t>
            </w:r>
          </w:p>
        </w:tc>
      </w:tr>
      <w:tr>
        <w:tc>
          <w:tcPr/>
          <w:p>
            <w:pPr>
              <w:pStyle w:val="Compact"/>
              <w:jc w:val="left"/>
            </w:pPr>
            <w:r>
              <w:t xml:space="preserve">8</w:t>
            </w:r>
          </w:p>
        </w:tc>
        <w:tc>
          <w:tcPr/>
          <w:p>
            <w:pPr>
              <w:pStyle w:val="Compact"/>
              <w:jc w:val="left"/>
            </w:pPr>
            <w:r>
              <w:t xml:space="preserve">Administrative coordination and scheduling support</w:t>
            </w:r>
          </w:p>
        </w:tc>
        <w:tc>
          <w:tcPr/>
          <w:p>
            <w:pPr>
              <w:pStyle w:val="Compact"/>
              <w:jc w:val="left"/>
            </w:pPr>
            <w:r>
              <w:t xml:space="preserve">1 lot</w:t>
            </w:r>
          </w:p>
        </w:tc>
        <w:tc>
          <w:tcPr/>
          <w:p>
            <w:pPr>
              <w:pStyle w:val="Compact"/>
              <w:jc w:val="left"/>
            </w:pPr>
            <w:r>
              <w:t xml:space="preserve">S/ 800.00</w:t>
            </w:r>
          </w:p>
        </w:tc>
        <w:tc>
          <w:tcPr/>
          <w:p>
            <w:pPr>
              <w:pStyle w:val="Compact"/>
              <w:jc w:val="left"/>
            </w:pPr>
            <w:r>
              <w:t xml:space="preserve">S/ 800.00</w:t>
            </w:r>
          </w:p>
        </w:tc>
        <w:tc>
          <w:tcPr/>
          <w:p>
            <w:pPr>
              <w:pStyle w:val="Compact"/>
              <w:jc w:val="left"/>
            </w:pPr>
            <w:r>
              <w:t xml:space="preserve">US$ 220.00</w:t>
            </w:r>
          </w:p>
        </w:tc>
      </w:tr>
      <w:tr>
        <w:tc>
          <w:tcPr>
            <w:gridSpan w:val="4"/>
          </w:tcPr>
          <w:p>
            <w:pPr>
              <w:pStyle w:val="Compact"/>
              <w:jc w:val="right"/>
            </w:pPr>
            <w:r>
              <w:t xml:space="preserve">TOTAL ESTIMATED COST</w:t>
            </w:r>
          </w:p>
        </w:tc>
        <w:tc>
          <w:tcPr/>
          <w:p>
            <w:pPr>
              <w:pStyle w:val="Compact"/>
              <w:jc w:val="left"/>
            </w:pPr>
            <w:r>
              <w:t xml:space="preserve">S/ 50,700.00</w:t>
            </w:r>
          </w:p>
        </w:tc>
        <w:tc>
          <w:tcPr/>
          <w:p>
            <w:pPr>
              <w:pStyle w:val="Compact"/>
              <w:jc w:val="left"/>
            </w:pPr>
            <w:r>
              <w:t xml:space="preserve">US$ 13,942.50</w:t>
            </w:r>
          </w:p>
        </w:tc>
      </w:tr>
    </w:tbl>
    <w:p>
      <w:pPr>
        <w:pStyle w:val="BodyText"/>
      </w:pPr>
      <w:r>
        <w:rPr>
          <w:bCs/>
          <w:b/>
        </w:rPr>
        <w:t xml:space="preserve">Note:</w:t>
      </w:r>
      <w:r>
        <w:t xml:space="preserve"> </w:t>
      </w:r>
      <w:r>
        <w:t xml:space="preserve">All amounts in Peruvian Sol (PEN) are subject to the applicable 18% IGV (Impuesto General a las Ventas) as mandated by the Peruvian tax authority (SUNAT). The USD conversion is provided for reference only at the exchange rate of 1 USD = 3.65 PEN as of the date of this Quotation Estimate. Final settlement shall be made in Peruvian Sol.</w:t>
      </w:r>
    </w:p>
    <w:p>
      <w:pPr>
        <w:pStyle w:val="BodyText"/>
      </w:pPr>
      <w:r>
        <w:t xml:space="preserve">5. Payment Terms and Schedule</w:t>
      </w:r>
    </w:p>
    <w:p>
      <w:pPr>
        <w:pStyle w:val="BodyText"/>
      </w:pPr>
      <w:r>
        <w:t xml:space="preserve">Payment for the</w:t>
      </w:r>
      <w:r>
        <w:t xml:space="preserve"> </w:t>
      </w:r>
      <w:r>
        <w:t xml:space="preserve">Professor</w:t>
      </w:r>
      <w:r>
        <w:t xml:space="preserve"> </w:t>
      </w:r>
      <w:r>
        <w:t xml:space="preserve">services detailed in this</w:t>
      </w:r>
      <w:r>
        <w:t xml:space="preserve"> </w:t>
      </w:r>
      <w:r>
        <w:t xml:space="preserve">Quotation Estimate</w:t>
      </w:r>
      <w:r>
        <w:t xml:space="preserve"> </w:t>
      </w:r>
      <w:r>
        <w:t xml:space="preserve">shall be structured as follows, in accordance with the financial policies of the requesting institution in</w:t>
      </w:r>
      <w:r>
        <w:t xml:space="preserve"> </w:t>
      </w:r>
      <w:r>
        <w:t xml:space="preserve">Peru Lima</w:t>
      </w:r>
      <w:r>
        <w:t xml:space="preserve">:</w:t>
      </w:r>
    </w:p>
    <w:p>
      <w:pPr>
        <w:numPr>
          <w:ilvl w:val="0"/>
          <w:numId w:val="1002"/>
        </w:numPr>
        <w:pStyle w:val="Compact"/>
      </w:pPr>
      <w:r>
        <w:rPr>
          <w:bCs/>
          <w:b/>
        </w:rPr>
        <w:t xml:space="preserve">Advance Payment (30%):</w:t>
      </w:r>
      <w:r>
        <w:t xml:space="preserve"> </w:t>
      </w:r>
      <w:r>
        <w:t xml:space="preserve">S/ 15,210.00 due within ten (10) business days of contract execution.</w:t>
      </w:r>
    </w:p>
    <w:p>
      <w:pPr>
        <w:numPr>
          <w:ilvl w:val="0"/>
          <w:numId w:val="1002"/>
        </w:numPr>
        <w:pStyle w:val="Compact"/>
      </w:pPr>
      <w:r>
        <w:rPr>
          <w:bCs/>
          <w:b/>
        </w:rPr>
        <w:t xml:space="preserve">Mid-Term Payment (40%):</w:t>
      </w:r>
      <w:r>
        <w:t xml:space="preserve"> </w:t>
      </w:r>
      <w:r>
        <w:t xml:space="preserve">S/ 20,280.00 due at the completion of the first academic semester.</w:t>
      </w:r>
    </w:p>
    <w:p>
      <w:pPr>
        <w:numPr>
          <w:ilvl w:val="0"/>
          <w:numId w:val="1002"/>
        </w:numPr>
        <w:pStyle w:val="Compact"/>
      </w:pPr>
      <w:r>
        <w:rPr>
          <w:bCs/>
          <w:b/>
        </w:rPr>
        <w:t xml:space="preserve">Final Payment (30%):</w:t>
      </w:r>
      <w:r>
        <w:t xml:space="preserve"> </w:t>
      </w:r>
      <w:r>
        <w:t xml:space="preserve">S/ 15,210.00 due within fifteen (15) business days of the completion of all deliverables and submission of the final academic report.</w:t>
      </w:r>
    </w:p>
    <w:p>
      <w:pPr>
        <w:pStyle w:val="FirstParagraph"/>
      </w:pPr>
      <w:r>
        <w:t xml:space="preserve">All payments shall be made via bank transfer to the account designated by the</w:t>
      </w:r>
      <w:r>
        <w:t xml:space="preserve"> </w:t>
      </w:r>
      <w:r>
        <w:t xml:space="preserve">Professor</w:t>
      </w:r>
      <w:r>
        <w:t xml:space="preserve"> </w:t>
      </w:r>
      <w:r>
        <w:t xml:space="preserve">or the academic services provider, as applicable under Peruvian banking regulations.</w:t>
      </w:r>
    </w:p>
    <w:p>
      <w:pPr>
        <w:pStyle w:val="BodyText"/>
      </w:pPr>
      <w:r>
        <w:t xml:space="preserve">6.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 based on market conditions in</w:t>
      </w:r>
      <w:r>
        <w:t xml:space="preserve"> </w:t>
      </w:r>
      <w:r>
        <w:t xml:space="preserve">Peru Lima</w:t>
      </w:r>
      <w:r>
        <w:t xml:space="preserve">.</w:t>
      </w:r>
    </w:p>
    <w:p>
      <w:pPr>
        <w:numPr>
          <w:ilvl w:val="0"/>
          <w:numId w:val="1003"/>
        </w:numPr>
        <w:pStyle w:val="Compact"/>
      </w:pPr>
      <w:r>
        <w:t xml:space="preserve">The</w:t>
      </w:r>
      <w:r>
        <w:t xml:space="preserve"> </w:t>
      </w:r>
      <w:r>
        <w:t xml:space="preserve">Professor</w:t>
      </w:r>
      <w:r>
        <w:t xml:space="preserve"> </w:t>
      </w:r>
      <w:r>
        <w:t xml:space="preserve">engagement is contingent upon the mutual execution of a formal service contract in compliance with Peruvian labor law (Ley General del Trabajo, D.L. 7289) and applicable university regulations.</w:t>
      </w:r>
    </w:p>
    <w:p>
      <w:pPr>
        <w:numPr>
          <w:ilvl w:val="0"/>
          <w:numId w:val="1003"/>
        </w:numPr>
        <w:pStyle w:val="Compact"/>
      </w:pPr>
      <w:r>
        <w:t xml:space="preserve">Any modifications to the scope of services outlined in this</w:t>
      </w:r>
      <w:r>
        <w:t xml:space="preserve"> </w:t>
      </w:r>
      <w:r>
        <w:t xml:space="preserve">Quotation Estimate</w:t>
      </w:r>
      <w:r>
        <w:t xml:space="preserve"> </w:t>
      </w:r>
      <w:r>
        <w:t xml:space="preserve">must be agreed upon in writing by both parties prior to implementation.</w:t>
      </w:r>
    </w:p>
    <w:p>
      <w:pPr>
        <w:numPr>
          <w:ilvl w:val="0"/>
          <w:numId w:val="1003"/>
        </w:numPr>
        <w:pStyle w:val="Compact"/>
      </w:pPr>
      <w:r>
        <w:t xml:space="preserve">The</w:t>
      </w:r>
      <w:r>
        <w:t xml:space="preserve"> </w:t>
      </w:r>
      <w:r>
        <w:t xml:space="preserve">Professor</w:t>
      </w:r>
      <w:r>
        <w:t xml:space="preserve"> </w:t>
      </w:r>
      <w:r>
        <w:t xml:space="preserve">shall maintain professional liability insurance as required by Peruvian academic institutions operating in Lima.</w:t>
      </w:r>
    </w:p>
    <w:p>
      <w:pPr>
        <w:numPr>
          <w:ilvl w:val="0"/>
          <w:numId w:val="1003"/>
        </w:numPr>
        <w:pStyle w:val="Compact"/>
      </w:pPr>
      <w:r>
        <w:t xml:space="preserve">All intellectual property generated during the engagement shall be governed by the terms specified in the executed contract, in accordance with Peruvian intellectual property law (Ley Nº 27808).</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accepted and countersigned by both parties.</w:t>
      </w:r>
    </w:p>
    <w:p>
      <w:pPr>
        <w:numPr>
          <w:ilvl w:val="0"/>
          <w:numId w:val="1003"/>
        </w:numPr>
        <w:pStyle w:val="Compact"/>
      </w:pPr>
      <w:r>
        <w:t xml:space="preserve">Disputes arising from this</w:t>
      </w:r>
      <w:r>
        <w:t xml:space="preserve"> </w:t>
      </w:r>
      <w:r>
        <w:t xml:space="preserve">Quotation Estimate</w:t>
      </w:r>
      <w:r>
        <w:t xml:space="preserve"> </w:t>
      </w:r>
      <w:r>
        <w:t xml:space="preserve">or the subsequent contract shall be resolved through the competent courts of Lima, Peru, or by arbitration in accordance with the rules of the Centro de Arbitraje y Conciliación de la Cámara de Comercio de Lima.</w:t>
      </w:r>
    </w:p>
    <w:p>
      <w:pPr>
        <w:pStyle w:val="FirstParagraph"/>
      </w:pPr>
      <w:r>
        <w:t xml:space="preserve">7. Acceptance and Authorization</w:t>
      </w:r>
    </w:p>
    <w:p>
      <w:pPr>
        <w:pStyle w:val="BodyText"/>
      </w:pPr>
      <w:r>
        <w:t xml:space="preserve">By signing below, both parties acknowledge that they have reviewed and accepted the terms, conditions, and financial figures presented in this</w:t>
      </w:r>
      <w:r>
        <w:t xml:space="preserve"> </w:t>
      </w:r>
      <w:r>
        <w:t xml:space="preserve">Quotation Estimate</w:t>
      </w:r>
      <w:r>
        <w:t xml:space="preserve"> </w:t>
      </w:r>
      <w:r>
        <w:t xml:space="preserve">for the engagement of the</w:t>
      </w:r>
      <w:r>
        <w:t xml:space="preserve"> </w:t>
      </w:r>
      <w:r>
        <w:t xml:space="preserve">Professor</w:t>
      </w:r>
      <w:r>
        <w:t xml:space="preserve"> </w:t>
      </w:r>
      <w:r>
        <w:t xml:space="preserve">in</w:t>
      </w:r>
      <w:r>
        <w:t xml:space="preserve"> </w:t>
      </w:r>
      <w:r>
        <w:t xml:space="preserve">Peru Lima</w:t>
      </w:r>
      <w:r>
        <w:t xml:space="preserve">.</w:t>
      </w:r>
    </w:p>
    <w:p>
      <w:pPr>
        <w:pStyle w:val="BodyText"/>
      </w:pPr>
      <w:r>
        <w:rPr>
          <w:bCs/>
          <w:b/>
        </w:rPr>
        <w:t xml:space="preserve">For the Provider</w:t>
      </w:r>
      <w:r>
        <w:br/>
      </w:r>
      <w:r>
        <w:t xml:space="preserve">Academic Services Division</w:t>
      </w:r>
      <w:r>
        <w:br/>
      </w:r>
      <w:r>
        <w:t xml:space="preserve">Name: _________________________</w:t>
      </w:r>
      <w:r>
        <w:br/>
      </w:r>
      <w:r>
        <w:t xml:space="preserve">Signature: _________________________</w:t>
      </w:r>
      <w:r>
        <w:br/>
      </w:r>
      <w:r>
        <w:t xml:space="preserve">Date: _________________________</w:t>
      </w:r>
    </w:p>
    <w:p>
      <w:pPr>
        <w:pStyle w:val="BodyText"/>
      </w:pPr>
      <w:r>
        <w:rPr>
          <w:bCs/>
          <w:b/>
        </w:rPr>
        <w:t xml:space="preserve">For the Client (Institution)</w:t>
      </w:r>
      <w:r>
        <w:br/>
      </w:r>
      <w:r>
        <w:t xml:space="preserve">Universidad Nacional de Ingeniería</w:t>
      </w:r>
      <w:r>
        <w:br/>
      </w:r>
      <w:r>
        <w:t xml:space="preserve">Name: _________________________</w:t>
      </w:r>
      <w:r>
        <w:br/>
      </w:r>
      <w:r>
        <w:t xml:space="preserve">Signature: _________________________</w:t>
      </w:r>
      <w:r>
        <w:br/>
      </w:r>
      <w:r>
        <w:t xml:space="preserve">Date: _________________________</w:t>
      </w:r>
    </w:p>
    <w:p>
      <w:pPr>
        <w:pStyle w:val="BodyText"/>
      </w:pPr>
      <w:r>
        <w:rPr>
          <w:bCs/>
          <w:b/>
        </w:rPr>
        <w:t xml:space="preserve">Quotation Estimate QE-PL-2025-0847</w:t>
      </w:r>
      <w:r>
        <w:t xml:space="preserve"> </w:t>
      </w:r>
      <w:r>
        <w:t xml:space="preserve">| Professor Academic Services | Peru Lima</w:t>
      </w:r>
    </w:p>
    <w:p>
      <w:pPr>
        <w:pStyle w:val="BodyText"/>
      </w:pPr>
      <w:r>
        <w:t xml:space="preserve">This document is generated electronically and is valid without a physical stamp. For verification, contact quotation@academiclima.pe or +51 1 456-7890.</w:t>
      </w:r>
    </w:p>
    <w:p>
      <w:pPr>
        <w:pStyle w:val="BodyText"/>
      </w:pPr>
      <w:r>
        <w:t xml:space="preserve">© 2025 Academic Services Division — Lima, Peru.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Peru Lima</dc:title>
  <dc:creator/>
  <dc:language>en</dc:language>
  <cp:keywords/>
  <dcterms:created xsi:type="dcterms:W3CDTF">2026-10-10T06:16:18Z</dcterms:created>
  <dcterms:modified xsi:type="dcterms:W3CDTF">2026-10-10T06:16:18Z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