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Engagement</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Academic Services — Professor Engagement for Institutional Partnership</w:t>
      </w:r>
    </w:p>
    <w:p>
      <w:pPr>
        <w:pStyle w:val="BodyText"/>
      </w:pPr>
      <w:r>
        <w:t xml:space="preserve">Prepared for use in Saudi Arabia, Jeddah</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QE-JED-2025-04782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the date of issue</w:t>
            </w:r>
          </w:p>
        </w:tc>
      </w:tr>
      <w:tr>
        <w:tc>
          <w:tcPr/>
          <w:p>
            <w:pPr>
              <w:pStyle w:val="Compact"/>
              <w:jc w:val="left"/>
            </w:pPr>
            <w:r>
              <w:t xml:space="preserve">Prepared By:</w:t>
            </w:r>
          </w:p>
        </w:tc>
        <w:tc>
          <w:tcPr/>
          <w:p>
            <w:pPr>
              <w:pStyle w:val="Compact"/>
              <w:jc w:val="left"/>
            </w:pPr>
            <w:r>
              <w:t xml:space="preserve">Dr. Khalid Al-Rashid, Director of Academic Partnerships, Al-Balad Higher Education Consulting Group, Jeddah, Saudi Arabia</w:t>
            </w:r>
          </w:p>
        </w:tc>
      </w:tr>
      <w:tr>
        <w:tc>
          <w:tcPr/>
          <w:p>
            <w:pPr>
              <w:pStyle w:val="Compact"/>
              <w:jc w:val="left"/>
            </w:pPr>
            <w:r>
              <w:t xml:space="preserve">Prepared For:</w:t>
            </w:r>
          </w:p>
        </w:tc>
        <w:tc>
          <w:tcPr/>
          <w:p>
            <w:pPr>
              <w:pStyle w:val="Compact"/>
              <w:jc w:val="left"/>
            </w:pPr>
            <w:r>
              <w:t xml:space="preserve">King Abdulaziz University — Faculty of Engineering and Applied Sciences, Jeddah, Saudi Arabia</w:t>
            </w:r>
          </w:p>
        </w:tc>
      </w:tr>
      <w:tr>
        <w:tc>
          <w:tcPr/>
          <w:p>
            <w:pPr>
              <w:pStyle w:val="Compact"/>
              <w:jc w:val="left"/>
            </w:pPr>
            <w:r>
              <w:t xml:space="preserve">Reference:</w:t>
            </w:r>
          </w:p>
        </w:tc>
        <w:tc>
          <w:tcPr/>
          <w:p>
            <w:pPr>
              <w:pStyle w:val="Compact"/>
              <w:jc w:val="left"/>
            </w:pPr>
            <w:r>
              <w:t xml:space="preserve">RFQ-ENG-2025-114 (Request for Quotation for Senior Academic Faculty)</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to provide a comprehensive financial and operational breakdown for the engagement of a</w:t>
      </w:r>
      <w:r>
        <w:t xml:space="preserve"> </w:t>
      </w:r>
      <w:r>
        <w:t xml:space="preserve">Professor</w:t>
      </w:r>
      <w:r>
        <w:t xml:space="preserve"> </w:t>
      </w:r>
      <w:r>
        <w:t xml:space="preserve">of Mechanical Engineering (PhD, CEng) to deliver a structured academic programme at an accredited institution in</w:t>
      </w:r>
      <w:r>
        <w:t xml:space="preserve"> </w:t>
      </w:r>
      <w:r>
        <w:t xml:space="preserve">Saudi Arabia, Jeddah</w:t>
      </w:r>
      <w:r>
        <w:t xml:space="preserve">. The scope encompasses a full academic semester of teaching, research supervision, curriculum development, and institutional advisory services. All rates and conditions outlined in this document are tailored specifically to the regulatory, cultural, and operational environment of Jeddah, Saudi Arabia, in full compliance with the Saudi Ministry of Education and the Saudi Commission for Universities.</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Professor’s base academic salary for full-time teaching (32 contact hours per week) in Jeddah, Saudi Arabia</w:t>
            </w:r>
          </w:p>
        </w:tc>
        <w:tc>
          <w:tcPr/>
          <w:p>
            <w:pPr>
              <w:pStyle w:val="Compact"/>
              <w:jc w:val="left"/>
            </w:pPr>
            <w:r>
              <w:t xml:space="preserve">16 weeks (1 semester)</w:t>
            </w:r>
          </w:p>
        </w:tc>
        <w:tc>
          <w:tcPr/>
          <w:p>
            <w:pPr>
              <w:pStyle w:val="Compact"/>
              <w:jc w:val="left"/>
            </w:pPr>
            <w:r>
              <w:t xml:space="preserve">45,000</w:t>
            </w:r>
          </w:p>
        </w:tc>
        <w:tc>
          <w:tcPr/>
          <w:p>
            <w:pPr>
              <w:pStyle w:val="Compact"/>
              <w:jc w:val="left"/>
            </w:pPr>
            <w:r>
              <w:t xml:space="preserve">720,000</w:t>
            </w:r>
          </w:p>
        </w:tc>
      </w:tr>
      <w:tr>
        <w:tc>
          <w:tcPr/>
          <w:p>
            <w:pPr>
              <w:pStyle w:val="Compact"/>
              <w:jc w:val="left"/>
            </w:pPr>
            <w:r>
              <w:t xml:space="preserve">2</w:t>
            </w:r>
          </w:p>
        </w:tc>
        <w:tc>
          <w:tcPr/>
          <w:p>
            <w:pPr>
              <w:pStyle w:val="Compact"/>
              <w:jc w:val="left"/>
            </w:pPr>
            <w:r>
              <w:t xml:space="preserve">Research supervision and thesis guidance for up to 8 graduate students</w:t>
            </w:r>
          </w:p>
        </w:tc>
        <w:tc>
          <w:tcPr/>
          <w:p>
            <w:pPr>
              <w:pStyle w:val="Compact"/>
              <w:jc w:val="left"/>
            </w:pPr>
            <w:r>
              <w:t xml:space="preserve">16 weeks</w:t>
            </w:r>
          </w:p>
        </w:tc>
        <w:tc>
          <w:tcPr/>
          <w:p>
            <w:pPr>
              <w:pStyle w:val="Compact"/>
              <w:jc w:val="left"/>
            </w:pPr>
            <w:r>
              <w:t xml:space="preserve">12,000</w:t>
            </w:r>
          </w:p>
        </w:tc>
        <w:tc>
          <w:tcPr/>
          <w:p>
            <w:pPr>
              <w:pStyle w:val="Compact"/>
              <w:jc w:val="left"/>
            </w:pPr>
            <w:r>
              <w:t xml:space="preserve">192,000</w:t>
            </w:r>
          </w:p>
        </w:tc>
      </w:tr>
      <w:tr>
        <w:tc>
          <w:tcPr/>
          <w:p>
            <w:pPr>
              <w:pStyle w:val="Compact"/>
              <w:jc w:val="left"/>
            </w:pPr>
            <w:r>
              <w:t xml:space="preserve">3</w:t>
            </w:r>
          </w:p>
        </w:tc>
        <w:tc>
          <w:tcPr/>
          <w:p>
            <w:pPr>
              <w:pStyle w:val="Compact"/>
              <w:jc w:val="left"/>
            </w:pPr>
            <w:r>
              <w:t xml:space="preserve">Curriculum design and accreditation support aligned with Saudi Vision 2030 educational goals</w:t>
            </w:r>
          </w:p>
        </w:tc>
        <w:tc>
          <w:tcPr/>
          <w:p>
            <w:pPr>
              <w:pStyle w:val="Compact"/>
              <w:jc w:val="left"/>
            </w:pPr>
            <w:r>
              <w:t xml:space="preserve">Lump sum</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4</w:t>
            </w:r>
          </w:p>
        </w:tc>
        <w:tc>
          <w:tcPr/>
          <w:p>
            <w:pPr>
              <w:pStyle w:val="Compact"/>
              <w:jc w:val="left"/>
            </w:pPr>
            <w:r>
              <w:t xml:space="preserve">International conference representation and keynote address (2 events in Jeddah)</w:t>
            </w:r>
          </w:p>
        </w:tc>
        <w:tc>
          <w:tcPr/>
          <w:p>
            <w:pPr>
              <w:pStyle w:val="Compact"/>
              <w:jc w:val="left"/>
            </w:pPr>
            <w:r>
              <w:t xml:space="preserve">2 events</w:t>
            </w:r>
          </w:p>
        </w:tc>
        <w:tc>
          <w:tcPr/>
          <w:p>
            <w:pPr>
              <w:pStyle w:val="Compact"/>
              <w:jc w:val="left"/>
            </w:pPr>
            <w:r>
              <w:t xml:space="preserve">18,000</w:t>
            </w:r>
          </w:p>
        </w:tc>
        <w:tc>
          <w:tcPr/>
          <w:p>
            <w:pPr>
              <w:pStyle w:val="Compact"/>
              <w:jc w:val="left"/>
            </w:pPr>
            <w:r>
              <w:t xml:space="preserve">36,000</w:t>
            </w:r>
          </w:p>
        </w:tc>
      </w:tr>
      <w:tr>
        <w:tc>
          <w:tcPr/>
          <w:p>
            <w:pPr>
              <w:pStyle w:val="Compact"/>
              <w:jc w:val="left"/>
            </w:pPr>
            <w:r>
              <w:t xml:space="preserve">5</w:t>
            </w:r>
          </w:p>
        </w:tc>
        <w:tc>
          <w:tcPr/>
          <w:p>
            <w:pPr>
              <w:pStyle w:val="Compact"/>
              <w:jc w:val="left"/>
            </w:pPr>
            <w:r>
              <w:t xml:space="preserve">Visa processing, Iqama sponsorship, and residency documentation in Saudi Arabia</w:t>
            </w:r>
          </w:p>
        </w:tc>
        <w:tc>
          <w:tcPr/>
          <w:p>
            <w:pPr>
              <w:pStyle w:val="Compact"/>
              <w:jc w:val="left"/>
            </w:pPr>
            <w:r>
              <w:t xml:space="preserve">Lump sum</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6</w:t>
            </w:r>
          </w:p>
        </w:tc>
        <w:tc>
          <w:tcPr/>
          <w:p>
            <w:pPr>
              <w:pStyle w:val="Compact"/>
              <w:jc w:val="left"/>
            </w:pPr>
            <w:r>
              <w:t xml:space="preserve">Accommodation allowance (furnished apartment, Al-Rawdah district, Jeddah)</w:t>
            </w:r>
          </w:p>
        </w:tc>
        <w:tc>
          <w:tcPr/>
          <w:p>
            <w:pPr>
              <w:pStyle w:val="Compact"/>
              <w:jc w:val="left"/>
            </w:pPr>
            <w:r>
              <w:t xml:space="preserve">16 weeks</w:t>
            </w:r>
          </w:p>
        </w:tc>
        <w:tc>
          <w:tcPr/>
          <w:p>
            <w:pPr>
              <w:pStyle w:val="Compact"/>
              <w:jc w:val="left"/>
            </w:pPr>
            <w:r>
              <w:t xml:space="preserve">8,500</w:t>
            </w:r>
          </w:p>
        </w:tc>
        <w:tc>
          <w:tcPr/>
          <w:p>
            <w:pPr>
              <w:pStyle w:val="Compact"/>
              <w:jc w:val="left"/>
            </w:pPr>
            <w:r>
              <w:t xml:space="preserve">136,000</w:t>
            </w:r>
          </w:p>
        </w:tc>
      </w:tr>
      <w:tr>
        <w:tc>
          <w:tcPr/>
          <w:p>
            <w:pPr>
              <w:pStyle w:val="Compact"/>
              <w:jc w:val="left"/>
            </w:pPr>
            <w:r>
              <w:t xml:space="preserve">7</w:t>
            </w:r>
          </w:p>
        </w:tc>
        <w:tc>
          <w:tcPr/>
          <w:p>
            <w:pPr>
              <w:pStyle w:val="Compact"/>
              <w:jc w:val="left"/>
            </w:pPr>
            <w:r>
              <w:t xml:space="preserve">Round-trip international airfare (Business Class) and airport transfers</w:t>
            </w:r>
          </w:p>
        </w:tc>
        <w:tc>
          <w:tcPr/>
          <w:p>
            <w:pPr>
              <w:pStyle w:val="Compact"/>
              <w:jc w:val="left"/>
            </w:pPr>
            <w:r>
              <w:t xml:space="preserve">1 round trip</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8</w:t>
            </w:r>
          </w:p>
        </w:tc>
        <w:tc>
          <w:tcPr/>
          <w:p>
            <w:pPr>
              <w:pStyle w:val="Compact"/>
              <w:jc w:val="left"/>
            </w:pPr>
            <w:r>
              <w:t xml:space="preserve">Professional indemnity insurance and medical coverage (Saudi Arabia compliant)</w:t>
            </w:r>
          </w:p>
        </w:tc>
        <w:tc>
          <w:tcPr/>
          <w:p>
            <w:pPr>
              <w:pStyle w:val="Compact"/>
              <w:jc w:val="left"/>
            </w:pPr>
            <w:r>
              <w:t xml:space="preserve">16 weeks</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9</w:t>
            </w:r>
          </w:p>
        </w:tc>
        <w:tc>
          <w:tcPr/>
          <w:p>
            <w:pPr>
              <w:pStyle w:val="Compact"/>
              <w:jc w:val="left"/>
            </w:pPr>
            <w:r>
              <w:t xml:space="preserve">End-of-service gratuity and repatriation allowance</w:t>
            </w:r>
          </w:p>
        </w:tc>
        <w:tc>
          <w:tcPr/>
          <w:p>
            <w:pPr>
              <w:pStyle w:val="Compact"/>
              <w:jc w:val="left"/>
            </w:pPr>
            <w:r>
              <w:t xml:space="preserve">Lump sum</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10</w:t>
            </w:r>
          </w:p>
        </w:tc>
        <w:tc>
          <w:tcPr/>
          <w:p>
            <w:pPr>
              <w:pStyle w:val="Compact"/>
              <w:jc w:val="left"/>
            </w:pPr>
            <w:r>
              <w:t xml:space="preserve">Administrative and coordination fees (Al-Balad Consulting Group, Jeddah)</w:t>
            </w:r>
          </w:p>
        </w:tc>
        <w:tc>
          <w:tcPr/>
          <w:p>
            <w:pPr>
              <w:pStyle w:val="Compact"/>
              <w:jc w:val="left"/>
            </w:pPr>
            <w:r>
              <w:t xml:space="preserve">Lump sum</w:t>
            </w:r>
          </w:p>
        </w:tc>
        <w:tc>
          <w:tcPr/>
          <w:p>
            <w:pPr>
              <w:pStyle w:val="Compact"/>
              <w:jc w:val="left"/>
            </w:pPr>
            <w:r>
              <w:t xml:space="preserve">30,000</w:t>
            </w:r>
          </w:p>
        </w:tc>
        <w:tc>
          <w:tcPr/>
          <w:p>
            <w:pPr>
              <w:pStyle w:val="Compact"/>
              <w:jc w:val="left"/>
            </w:pPr>
            <w:r>
              <w:t xml:space="preserve">30,000</w:t>
            </w:r>
          </w:p>
        </w:tc>
      </w:tr>
      <w:tr>
        <w:tc>
          <w:tcPr>
            <w:gridSpan w:val="4"/>
          </w:tcPr>
          <w:p>
            <w:pPr>
              <w:pStyle w:val="Compact"/>
              <w:jc w:val="left"/>
            </w:pPr>
            <w:r>
              <w:t xml:space="preserve">GRAND TOTAL (SAR)</w:t>
            </w:r>
          </w:p>
        </w:tc>
        <w:tc>
          <w:tcPr/>
          <w:p>
            <w:pPr>
              <w:pStyle w:val="Compact"/>
              <w:jc w:val="left"/>
            </w:pPr>
            <w:r>
              <w:t xml:space="preserve">1,390,500</w:t>
            </w:r>
          </w:p>
        </w:tc>
      </w:tr>
      <w:tr>
        <w:tc>
          <w:tcPr>
            <w:gridSpan w:val="4"/>
          </w:tcPr>
          <w:p>
            <w:pPr>
              <w:pStyle w:val="Compact"/>
              <w:jc w:val="left"/>
            </w:pPr>
            <w:r>
              <w:t xml:space="preserve">GRAND TOTAL (USD, approx. at 3.75 SAR/USD)</w:t>
            </w:r>
          </w:p>
        </w:tc>
        <w:tc>
          <w:tcPr/>
          <w:p>
            <w:pPr>
              <w:pStyle w:val="Compact"/>
              <w:jc w:val="left"/>
            </w:pPr>
            <w:r>
              <w:t xml:space="preserve">370,800</w:t>
            </w:r>
          </w:p>
        </w:tc>
      </w:tr>
    </w:tbl>
    <w:p>
      <w:pPr>
        <w:pStyle w:val="BodyText"/>
      </w:pPr>
      <w:r>
        <w:rPr>
          <w:bCs/>
          <w:b/>
        </w:rPr>
        <w:t xml:space="preserve">Note:</w:t>
      </w:r>
      <w:r>
        <w:t xml:space="preserve"> </w:t>
      </w:r>
      <w:r>
        <w:t xml:space="preserve">All monetary values in this Quotation Estimate are denominated in Saudi Riyals (SAR) unless otherwise stated. Exchange rates are indicative and subject to fluctuation. The Professor’s engagement is governed by the Saudi Labour Law and the institution’s internal HR policies applicable in Jeddah, Saudi Arabia.</w:t>
      </w:r>
    </w:p>
    <w:p>
      <w:pPr>
        <w:pStyle w:val="BodyText"/>
      </w:pPr>
      <w:r>
        <w:t xml:space="preserve">3. Terms and Conditions</w:t>
      </w:r>
    </w:p>
    <w:p>
      <w:pPr>
        <w:numPr>
          <w:ilvl w:val="0"/>
          <w:numId w:val="1001"/>
        </w:numPr>
        <w:pStyle w:val="Compact"/>
      </w:pPr>
      <w:r>
        <w:t xml:space="preserve">This Quotation Estimate is valid for thirty (30) calendar days from the date of issue. Beyond this period, all rates are subject to revision based on market conditions in Saudi Arabia.</w:t>
      </w:r>
    </w:p>
    <w:p>
      <w:pPr>
        <w:numPr>
          <w:ilvl w:val="0"/>
          <w:numId w:val="1001"/>
        </w:numPr>
        <w:pStyle w:val="Compact"/>
      </w:pPr>
      <w:r>
        <w:t xml:space="preserve">Payment shall be made in monthly instalments via bank transfer to the designated account in Jeddah, Saudi Arabia, within fifteen (15) business days of each invoice date.</w:t>
      </w:r>
    </w:p>
    <w:p>
      <w:pPr>
        <w:numPr>
          <w:ilvl w:val="0"/>
          <w:numId w:val="1001"/>
        </w:numPr>
        <w:pStyle w:val="Compact"/>
      </w:pPr>
      <w:r>
        <w:t xml:space="preserve">The Professor’s contract term is for one (1) academic semester (16 weeks), with an option for renewal subject to mutual written agreement and a new Quotation Estimate.</w:t>
      </w:r>
    </w:p>
    <w:p>
      <w:pPr>
        <w:numPr>
          <w:ilvl w:val="0"/>
          <w:numId w:val="1001"/>
        </w:numPr>
        <w:pStyle w:val="Compact"/>
      </w:pPr>
      <w:r>
        <w:t xml:space="preserve">The institution in Jeddah shall provide a dedicated office, laboratory access, and all necessary teaching materials and technology infrastructure.</w:t>
      </w:r>
    </w:p>
    <w:p>
      <w:pPr>
        <w:numPr>
          <w:ilvl w:val="0"/>
          <w:numId w:val="1001"/>
        </w:numPr>
        <w:pStyle w:val="Compact"/>
      </w:pPr>
      <w:r>
        <w:t xml:space="preserve">Early termination by either party requires a written notice of thirty (30) days. In the event of early termination, a pro-rata settlement of all committed costs shall apply.</w:t>
      </w:r>
    </w:p>
    <w:p>
      <w:pPr>
        <w:numPr>
          <w:ilvl w:val="0"/>
          <w:numId w:val="1001"/>
        </w:numPr>
        <w:pStyle w:val="Compact"/>
      </w:pPr>
      <w:r>
        <w:t xml:space="preserve">The Professor shall comply with all Saudi Arabian laws, regulations, and institutional policies, including but not limited to the Saudi Ministry of Education guidelines and the Saudi Commission for Universities accreditation standards.</w:t>
      </w:r>
    </w:p>
    <w:p>
      <w:pPr>
        <w:numPr>
          <w:ilvl w:val="0"/>
          <w:numId w:val="1001"/>
        </w:numPr>
        <w:pStyle w:val="Compact"/>
      </w:pPr>
      <w:r>
        <w:t xml:space="preserve">All intellectual property developed during the engagement in Jeddah shall be jointly owned by the Professor and the host institution, as stipulated in a separate IP agreement.</w:t>
      </w:r>
    </w:p>
    <w:p>
      <w:pPr>
        <w:numPr>
          <w:ilvl w:val="0"/>
          <w:numId w:val="1001"/>
        </w:numPr>
        <w:pStyle w:val="Compact"/>
      </w:pPr>
      <w:r>
        <w:t xml:space="preserve">This Quotation Estimate does not constitute a binding contract until countersigned by both parties and accompanied by a formal engagement letter.</w:t>
      </w:r>
    </w:p>
    <w:p>
      <w:pPr>
        <w:numPr>
          <w:ilvl w:val="0"/>
          <w:numId w:val="1001"/>
        </w:numPr>
        <w:pStyle w:val="Compact"/>
      </w:pPr>
      <w:r>
        <w:t xml:space="preserve">Any disputes arising from this Quotation Estimate shall be resolved through arbitration in Jeddah, Saudi Arabia, in accordance with the rules of the Saudi Center for Commercial Arbitration.</w:t>
      </w:r>
    </w:p>
    <w:p>
      <w:pPr>
        <w:pStyle w:val="FirstParagraph"/>
      </w:pPr>
      <w:r>
        <w:t xml:space="preserve">4. Acceptance and Authorization</w:t>
      </w:r>
    </w:p>
    <w:p>
      <w:pPr>
        <w:pStyle w:val="BodyText"/>
      </w:pPr>
      <w:r>
        <w:t xml:space="preserve">By signing below, both parties acknowledge that they have read, understood, and agree to the terms, conditions, and financial obligations outlined in this Quotation Estimate for the Professor engagement in Saudi Arabia, Jeddah.</w:t>
      </w:r>
    </w:p>
    <w:p>
      <w:pPr>
        <w:pStyle w:val="BodyText"/>
      </w:pPr>
      <w:r>
        <w:rPr>
          <w:bCs/>
          <w:b/>
        </w:rPr>
        <w:t xml:space="preserve">For the Institution:</w:t>
      </w:r>
      <w:r>
        <w:br/>
      </w:r>
      <w:r>
        <w:t xml:space="preserve">King Abdulaziz University</w:t>
      </w:r>
      <w:r>
        <w:br/>
      </w:r>
      <w:r>
        <w:t xml:space="preserve">Faculty of Engineering and Applied Sciences</w:t>
      </w:r>
      <w:r>
        <w:br/>
      </w:r>
      <w:r>
        <w:t xml:space="preserve">Jeddah, Saudi Arabia</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rPr>
          <w:bCs/>
          <w:b/>
        </w:rPr>
        <w:t xml:space="preserve">For the Consulting Group:</w:t>
      </w:r>
      <w:r>
        <w:br/>
      </w:r>
      <w:r>
        <w:t xml:space="preserve">Al-Balad Higher Education Consulting Group</w:t>
      </w:r>
      <w:r>
        <w:br/>
      </w:r>
      <w:r>
        <w:t xml:space="preserve">Jeddah, Saudi Arabia</w:t>
      </w:r>
    </w:p>
    <w:p>
      <w:pPr>
        <w:pStyle w:val="BodyText"/>
      </w:pPr>
      <w:r>
        <w:t xml:space="preserve">Name: Dr. Khalid Al-Rashid</w:t>
      </w:r>
      <w:r>
        <w:br/>
      </w:r>
      <w:r>
        <w:t xml:space="preserve">Title: Director of Academic Partnerships</w:t>
      </w:r>
      <w:r>
        <w:br/>
      </w:r>
      <w:r>
        <w:t xml:space="preserve">Signature &amp; Date: _________________________</w:t>
      </w:r>
    </w:p>
    <w:p>
      <w:pPr>
        <w:pStyle w:val="BodyText"/>
      </w:pPr>
      <w:r>
        <w:t xml:space="preserve">Quotation Estimate No. QE-JED-2025-04782 — Professor Engagement — Saudi Arabia, Jeddah</w:t>
      </w:r>
    </w:p>
    <w:p>
      <w:pPr>
        <w:pStyle w:val="BodyText"/>
      </w:pPr>
      <w:r>
        <w:t xml:space="preserve">Al-Balad Higher Education Consulting Group | P.O. Box 4521, Al-Salam, Jeddah 23411, Saudi Arabia | Tel: +966 12 555 0147 | Email: partnerships@albalad-consult.sa</w:t>
      </w:r>
    </w:p>
    <w:p>
      <w:pPr>
        <w:pStyle w:val="BodyText"/>
      </w:pPr>
      <w:r>
        <w:t xml:space="preserve">This document is confidential and intended solely for the named recipient.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Engagement - Saudi Arabia Jeddah</dc:title>
  <dc:creator/>
  <dc:language>en</dc:language>
  <cp:keywords/>
  <dcterms:created xsi:type="dcterms:W3CDTF">2026-10-10T04:06:51Z</dcterms:created>
  <dcterms:modified xsi:type="dcterms:W3CDTF">2026-10-10T04:06:51Z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