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Academic &amp; Professional Services – Professor Engagement</w:t>
      </w:r>
    </w:p>
    <w:p>
      <w:pPr>
        <w:pStyle w:val="BodyText"/>
      </w:pPr>
      <w:r>
        <w:t xml:space="preserve">Prepared for use in Saudi Arabia Riyadh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QTE-RYD-2025-04782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Khalid Al-Rashid, Academic Services Division</w:t>
            </w:r>
          </w:p>
        </w:tc>
      </w:tr>
      <w:tr>
        <w:tc>
          <w:tcPr/>
          <w:p>
            <w:pPr>
              <w:pStyle w:val="Compact"/>
              <w:jc w:val="left"/>
            </w:pPr>
            <w:r>
              <w:t xml:space="preserve">Prepared For</w:t>
            </w:r>
          </w:p>
        </w:tc>
        <w:tc>
          <w:tcPr/>
          <w:p>
            <w:pPr>
              <w:pStyle w:val="Compact"/>
              <w:jc w:val="left"/>
            </w:pPr>
            <w:r>
              <w:t xml:space="preserve">King Fahd University of Science and Technology (KFUST), Riyadh, Saudi Arabia</w:t>
            </w:r>
          </w:p>
        </w:tc>
      </w:tr>
      <w:tr>
        <w:tc>
          <w:tcPr/>
          <w:p>
            <w:pPr>
              <w:pStyle w:val="Compact"/>
              <w:jc w:val="left"/>
            </w:pPr>
            <w:r>
              <w:t xml:space="preserve">Location of Service</w:t>
            </w:r>
          </w:p>
        </w:tc>
        <w:tc>
          <w:tcPr/>
          <w:p>
            <w:pPr>
              <w:pStyle w:val="Compact"/>
              <w:jc w:val="left"/>
            </w:pPr>
            <w:r>
              <w:t xml:space="preserve">Riyadh, Saudi Arabia – Al Olaya District, P.O. Box 11443, Riyadh 14237</w:t>
            </w:r>
          </w:p>
        </w:tc>
      </w:tr>
      <w:tr>
        <w:tc>
          <w:tcPr/>
          <w:p>
            <w:pPr>
              <w:pStyle w:val="Compact"/>
              <w:jc w:val="left"/>
            </w:pPr>
            <w:r>
              <w:t xml:space="preserve">Currency</w:t>
            </w:r>
          </w:p>
        </w:tc>
        <w:tc>
          <w:tcPr/>
          <w:p>
            <w:pPr>
              <w:pStyle w:val="Compact"/>
              <w:jc w:val="left"/>
            </w:pPr>
            <w:r>
              <w:t xml:space="preserve">Saudi Riyal (SAR)</w:t>
            </w:r>
          </w:p>
        </w:tc>
      </w:tr>
    </w:tbl>
    <w:p>
      <w:pPr>
        <w:pStyle w:val="BodyText"/>
      </w:pPr>
      <w:r>
        <w:t xml:space="preserve">1. Purpose and Scope of This Quotation Estimate</w:t>
      </w:r>
    </w:p>
    <w:p>
      <w:pPr>
        <w:pStyle w:val="BodyText"/>
      </w:pPr>
      <w:r>
        <w:t xml:space="preserve">This Quotation Estimate is formally issued to outline the comprehensive cost structure, deliverables, and professional terms associated with the engagement of a senior Professor for academic research, curriculum development, and institutional advisory services. This document has been specifically prepared for implementation within Saudi Arabia Riyadh, in full compliance with the regulatory frameworks established by the Saudi Ministry of Education, the Saudi Commission for Health Specialties (where applicable), and the local commercial regulations of the Riyadh municipality. The Professor referenced in this Quotation Estimate shall be a tenured or equivalent senior academic holding a Doctoral degree (Ph.D.) with a minimum of fifteen (15) years of post-doctoral experience in the relevant field of study.</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Professor – Senior Academic Research Supervision (Ph.D. and Master's thesis guidance, minimum 8 students per cycle)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Professor – Curriculum Design &amp; Development for Graduate Programs (including alignment with Saudi Vision 2030 educational objectives)</w:t>
            </w:r>
          </w:p>
        </w:tc>
        <w:tc>
          <w:tcPr/>
          <w:p>
            <w:pPr>
              <w:pStyle w:val="Compact"/>
              <w:jc w:val="left"/>
            </w:pPr>
            <w:r>
              <w:t xml:space="preserve">6 months</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Professor – Institutional Advisory Board Membership (quarterly strategic reviews, policy recommendations to the Dean's Office in Riyadh)</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Professor – Guest Lecture Series (minimum 24 sessions per academic year, delivered on-campus in Riyadh)</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5</w:t>
            </w:r>
          </w:p>
        </w:tc>
        <w:tc>
          <w:tcPr/>
          <w:p>
            <w:pPr>
              <w:pStyle w:val="Compact"/>
              <w:jc w:val="left"/>
            </w:pPr>
            <w:r>
              <w:t xml:space="preserve">Professor – Research Grant Proposal Development &amp; Submission (targeting Saudi Research Funding Authority – SRFG)</w:t>
            </w:r>
          </w:p>
        </w:tc>
        <w:tc>
          <w:tcPr/>
          <w:p>
            <w:pPr>
              <w:pStyle w:val="Compact"/>
              <w:jc w:val="left"/>
            </w:pPr>
            <w:r>
              <w:t xml:space="preserve">Per project (3)</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Professor – International Conference Keynote &amp; Panel Participation (minimum 2 events per year, hosted in Riyadh or abroad)</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Accommodation &amp; Housing Allowance for the Professor (furnished apartment in Riyadh, Al Malqa or Al Olaya district)</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8</w:t>
            </w:r>
          </w:p>
        </w:tc>
        <w:tc>
          <w:tcPr/>
          <w:p>
            <w:pPr>
              <w:pStyle w:val="Compact"/>
              <w:jc w:val="left"/>
            </w:pPr>
            <w:r>
              <w:t xml:space="preserve">Transportation &amp; Local Mobility (company vehicle with driver, Riyadh metropolitan area)</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9</w:t>
            </w:r>
          </w:p>
        </w:tc>
        <w:tc>
          <w:tcPr/>
          <w:p>
            <w:pPr>
              <w:pStyle w:val="Compact"/>
              <w:jc w:val="left"/>
            </w:pPr>
            <w:r>
              <w:t xml:space="preserve">Annual Airfare (round-trip, business class, home country to Riyadh King Khalid International Airport – RUH)</w:t>
            </w:r>
          </w:p>
        </w:tc>
        <w:tc>
          <w:tcPr/>
          <w:p>
            <w:pPr>
              <w:pStyle w:val="Compact"/>
              <w:jc w:val="left"/>
            </w:pPr>
            <w:r>
              <w:t xml:space="preserve">2 trips</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10</w:t>
            </w:r>
          </w:p>
        </w:tc>
        <w:tc>
          <w:tcPr/>
          <w:p>
            <w:pPr>
              <w:pStyle w:val="Compact"/>
              <w:jc w:val="left"/>
            </w:pPr>
            <w:r>
              <w:t xml:space="preserve">Medical Insurance &amp; Health Coverage (comprehensive, covering the Professor and immediate family, per Saudi labor law)</w:t>
            </w:r>
          </w:p>
        </w:tc>
        <w:tc>
          <w:tcPr/>
          <w:p>
            <w:pPr>
              <w:pStyle w:val="Compact"/>
              <w:jc w:val="left"/>
            </w:pPr>
            <w:r>
              <w:t xml:space="preserve">12 months</w:t>
            </w:r>
          </w:p>
        </w:tc>
        <w:tc>
          <w:tcPr/>
          <w:p>
            <w:pPr>
              <w:pStyle w:val="Compact"/>
              <w:jc w:val="left"/>
            </w:pPr>
            <w:r>
              <w:t xml:space="preserve">9,000</w:t>
            </w:r>
          </w:p>
        </w:tc>
        <w:tc>
          <w:tcPr/>
          <w:p>
            <w:pPr>
              <w:pStyle w:val="Compact"/>
              <w:jc w:val="left"/>
            </w:pPr>
            <w:r>
              <w:t xml:space="preserve">108,000</w:t>
            </w:r>
          </w:p>
        </w:tc>
      </w:tr>
      <w:tr>
        <w:tc>
          <w:tcPr/>
          <w:p>
            <w:pPr>
              <w:pStyle w:val="Compact"/>
              <w:jc w:val="left"/>
            </w:pPr>
            <w:r>
              <w:t xml:space="preserve">11</w:t>
            </w:r>
          </w:p>
        </w:tc>
        <w:tc>
          <w:tcPr/>
          <w:p>
            <w:pPr>
              <w:pStyle w:val="Compact"/>
              <w:jc w:val="left"/>
            </w:pPr>
            <w:r>
              <w:t xml:space="preserve">Visa Processing, Iqama (Residence Permit) &amp; Work Permit Fees (Saudi Arabia Ministry of Human Resources and Social Development)</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12</w:t>
            </w:r>
          </w:p>
        </w:tc>
        <w:tc>
          <w:tcPr/>
          <w:p>
            <w:pPr>
              <w:pStyle w:val="Compact"/>
              <w:jc w:val="left"/>
            </w:pPr>
            <w:r>
              <w:t xml:space="preserve">Research Materials, Laboratory Access &amp; Publication Support (open-access fees, printing, data storage)</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 (SAR)</w:t>
            </w:r>
          </w:p>
        </w:tc>
        <w:tc>
          <w:tcPr/>
          <w:p>
            <w:pPr>
              <w:pStyle w:val="Compact"/>
              <w:jc w:val="left"/>
            </w:pPr>
            <w:r>
              <w:t xml:space="preserve">1,626,500</w:t>
            </w:r>
          </w:p>
        </w:tc>
      </w:tr>
      <w:tr>
        <w:tc>
          <w:tcPr>
            <w:gridSpan w:val="4"/>
          </w:tcPr>
          <w:p>
            <w:pPr>
              <w:pStyle w:val="Compact"/>
              <w:jc w:val="right"/>
            </w:pPr>
            <w:r>
              <w:t xml:space="preserve">VAT @ 15% (Saudi Arabia Value Added Tax, per ZATCA regulations)</w:t>
            </w:r>
          </w:p>
        </w:tc>
        <w:tc>
          <w:tcPr/>
          <w:p>
            <w:pPr>
              <w:pStyle w:val="Compact"/>
              <w:jc w:val="left"/>
            </w:pPr>
            <w:r>
              <w:t xml:space="preserve">243,975</w:t>
            </w:r>
          </w:p>
        </w:tc>
      </w:tr>
      <w:tr>
        <w:tc>
          <w:tcPr>
            <w:gridSpan w:val="4"/>
          </w:tcPr>
          <w:p>
            <w:pPr>
              <w:pStyle w:val="Compact"/>
              <w:jc w:val="right"/>
            </w:pPr>
            <w:r>
              <w:t xml:space="preserve">GRAND TOTAL (SAR)</w:t>
            </w:r>
          </w:p>
        </w:tc>
        <w:tc>
          <w:tcPr/>
          <w:p>
            <w:pPr>
              <w:pStyle w:val="Compact"/>
              <w:jc w:val="left"/>
            </w:pPr>
            <w:r>
              <w:t xml:space="preserve">1,870,475</w:t>
            </w:r>
          </w:p>
        </w:tc>
      </w:tr>
    </w:tbl>
    <w:p>
      <w:pPr>
        <w:pStyle w:val="BodyText"/>
      </w:pPr>
      <w:r>
        <w:t xml:space="preserve">3. Terms and Conditions</w:t>
      </w:r>
    </w:p>
    <w:p>
      <w:pPr>
        <w:numPr>
          <w:ilvl w:val="0"/>
          <w:numId w:val="1001"/>
        </w:numPr>
        <w:pStyle w:val="Compact"/>
      </w:pPr>
      <w:r>
        <w:t xml:space="preserve">This Quotation Estimate is valid for a period of ninety (90) calendar days from the date of issue. Any engagement beyond this period shall require a revised Quotation Estimate reflecting current market rates in Saudi Arabia Riyadh.</w:t>
      </w:r>
    </w:p>
    <w:p>
      <w:pPr>
        <w:numPr>
          <w:ilvl w:val="0"/>
          <w:numId w:val="1001"/>
        </w:numPr>
        <w:pStyle w:val="Compact"/>
      </w:pPr>
      <w:r>
        <w:t xml:space="preserve">All payments shall be processed in Saudi Riyal (SAR) via bank transfer to the designated account. The Professor's compensation is subject to the Saudi Income Tax regulations as administered by the Zakat, Tax and Customs Authority (ZATCA).</w:t>
      </w:r>
    </w:p>
    <w:p>
      <w:pPr>
        <w:numPr>
          <w:ilvl w:val="0"/>
          <w:numId w:val="1001"/>
        </w:numPr>
        <w:pStyle w:val="Compact"/>
      </w:pPr>
      <w:r>
        <w:t xml:space="preserve">The 15% Value Added Tax (VAT) is applied in accordance with the Saudi Arabian VAT Law (Royal Decree No. M/247, effective 1 January 2018). The Professor's services, where classified as exempt under ZATCA guidelines, may be subject to a tax adjustment upon final invoicing.</w:t>
      </w:r>
    </w:p>
    <w:p>
      <w:pPr>
        <w:numPr>
          <w:ilvl w:val="0"/>
          <w:numId w:val="1001"/>
        </w:numPr>
        <w:pStyle w:val="Compact"/>
      </w:pPr>
      <w:r>
        <w:t xml:space="preserve">The Professor shall comply with all Saudi Arabian labor laws, including the requirement to obtain a valid Iqama (Residence Permit) and work authorization from the Ministry of Human Resources and Social Development prior to commencing duties in Riyadh.</w:t>
      </w:r>
    </w:p>
    <w:p>
      <w:pPr>
        <w:numPr>
          <w:ilvl w:val="0"/>
          <w:numId w:val="1001"/>
        </w:numPr>
        <w:pStyle w:val="Compact"/>
      </w:pPr>
      <w:r>
        <w:t xml:space="preserve">Working hours shall follow the standard Saudi academic calendar. The Professor is expected to be physically present in Riyadh for a minimum of 220 working days per annum, with flexibility for approved international travel.</w:t>
      </w:r>
    </w:p>
    <w:p>
      <w:pPr>
        <w:numPr>
          <w:ilvl w:val="0"/>
          <w:numId w:val="1001"/>
        </w:numPr>
        <w:pStyle w:val="Compact"/>
      </w:pPr>
      <w:r>
        <w:t xml:space="preserve">Intellectual property generated during the engagement shall be jointly owned by the Professor and the hosting institution, as stipulated in the separate Academic IP Agreement to be executed in Riyadh.</w:t>
      </w:r>
    </w:p>
    <w:p>
      <w:pPr>
        <w:numPr>
          <w:ilvl w:val="0"/>
          <w:numId w:val="1001"/>
        </w:numPr>
        <w:pStyle w:val="Compact"/>
      </w:pPr>
      <w:r>
        <w:t xml:space="preserve">This Quotation Estimate does not constitute a binding contract. A formal Service Agreement, governed by the laws of the Kingdom of Saudi Arabia, must be executed by both parties before any services commence.</w:t>
      </w:r>
    </w:p>
    <w:p>
      <w:pPr>
        <w:numPr>
          <w:ilvl w:val="0"/>
          <w:numId w:val="1001"/>
        </w:numPr>
        <w:pStyle w:val="Compact"/>
      </w:pPr>
      <w:r>
        <w:t xml:space="preserve">Disputes arising from this Quotation Estimate or the subsequent agreement shall be resolved through the Saudi Center for Commercial Arbitration (SCCA) in Riyadh.</w:t>
      </w:r>
    </w:p>
    <w:p>
      <w:pPr>
        <w:numPr>
          <w:ilvl w:val="0"/>
          <w:numId w:val="1001"/>
        </w:numPr>
        <w:pStyle w:val="Compact"/>
      </w:pPr>
      <w:r>
        <w:t xml:space="preserve">The hosting institution reserves the right to terminate the engagement with sixty (60) days' written notice. In such an event, the Professor shall be compensated pro-rata for services rendered up to the termination date.</w:t>
      </w:r>
    </w:p>
    <w:p>
      <w:pPr>
        <w:pStyle w:val="FirstParagraph"/>
      </w:pPr>
      <w:r>
        <w:rPr>
          <w:bCs/>
          <w:b/>
        </w:rPr>
        <w:t xml:space="preserve">Important Note for Saudi Arabia Riyadh Compliance:</w:t>
      </w:r>
      <w:r>
        <w:t xml:space="preserve"> </w:t>
      </w:r>
      <w:r>
        <w:t xml:space="preserve">This Quotation Estimate has been prepared in accordance with the regulatory requirements of the Saudi Ministry of Education and the National Competency-Based Qualifications Framework (NCQF). The Professor's qualifications, academic credentials, and professional references must be verified through the Saudi Council of Higher Education (CPE) before the commencement of any academic duties in Riyadh. All documentation must be attested by the Saudi Embassy in the Professor's home country and the Ministry of Foreign Affairs of the Kingdom of Saudi Arabia.</w:t>
      </w:r>
    </w:p>
    <w:p>
      <w:pPr>
        <w:pStyle w:val="BodyText"/>
      </w:pPr>
      <w:r>
        <w:t xml:space="preserve">4. Acceptance and Authorization</w:t>
      </w:r>
    </w:p>
    <w:p>
      <w:pPr>
        <w:pStyle w:val="BodyText"/>
      </w:pPr>
      <w:r>
        <w:t xml:space="preserve">By signing below, both parties acknowledge that this Quotation Estimate accurately reflects the agreed-upon scope, cost, and terms for the Professor's engagement in Saudi Arabia Riyadh. This document serves as the foundational financial reference for the subsequent formal Service Agreement.</w:t>
      </w:r>
    </w:p>
    <w:p>
      <w:pPr>
        <w:pStyle w:val="BodyText"/>
      </w:pPr>
      <w:r>
        <w:rPr>
          <w:bCs/>
          <w:b/>
        </w:rPr>
        <w:t xml:space="preserve">For the Hosting Institution</w:t>
      </w:r>
    </w:p>
    <w:p>
      <w:pPr>
        <w:pStyle w:val="BodyText"/>
      </w:pPr>
      <w:r>
        <w:t xml:space="preserve">King Fahd University of Science and Technology</w:t>
      </w:r>
    </w:p>
    <w:p>
      <w:pPr>
        <w:pStyle w:val="BodyText"/>
      </w:pPr>
      <w:r>
        <w:t xml:space="preserve">Riyadh, Saudi Arabia</w:t>
      </w:r>
    </w:p>
    <w:p>
      <w:pPr>
        <w:pStyle w:val="BodyText"/>
      </w:pPr>
      <w:r>
        <w:t xml:space="preserve">Name: ______________________________</w:t>
      </w:r>
      <w:r>
        <w:br/>
      </w:r>
      <w:r>
        <w:t xml:space="preserve">Title: Dean / Authorized Signatory</w:t>
      </w:r>
      <w:r>
        <w:br/>
      </w:r>
      <w:r>
        <w:t xml:space="preserve">Date: ______________________________</w:t>
      </w:r>
      <w:r>
        <w:br/>
      </w:r>
      <w:r>
        <w:t xml:space="preserve">Signature &amp; Stamp:</w:t>
      </w:r>
    </w:p>
    <w:p>
      <w:pPr>
        <w:pStyle w:val="BodyText"/>
      </w:pPr>
      <w:r>
        <w:rPr>
          <w:bCs/>
          <w:b/>
        </w:rPr>
        <w:t xml:space="preserve">For the Professor / Service Provider</w:t>
      </w:r>
    </w:p>
    <w:p>
      <w:pPr>
        <w:pStyle w:val="BodyText"/>
      </w:pPr>
      <w:r>
        <w:t xml:space="preserve">Professor [Full Name], Ph.D.</w:t>
      </w:r>
    </w:p>
    <w:p>
      <w:pPr>
        <w:pStyle w:val="BodyText"/>
      </w:pPr>
      <w:r>
        <w:t xml:space="preserve">Passport No.: ____________________</w:t>
      </w:r>
    </w:p>
    <w:p>
      <w:pPr>
        <w:pStyle w:val="BodyText"/>
      </w:pPr>
      <w:r>
        <w:t xml:space="preserve">Name: ______________________________</w:t>
      </w:r>
      <w:r>
        <w:br/>
      </w:r>
      <w:r>
        <w:t xml:space="preserve">Title: Professor / Senior Academic</w:t>
      </w:r>
      <w:r>
        <w:br/>
      </w:r>
      <w:r>
        <w:t xml:space="preserve">Date: ______________________________</w:t>
      </w:r>
      <w:r>
        <w:br/>
      </w:r>
      <w:r>
        <w:t xml:space="preserve">Signature:</w:t>
      </w:r>
    </w:p>
    <w:p>
      <w:pPr>
        <w:pStyle w:val="BodyText"/>
      </w:pPr>
      <w:r>
        <w:t xml:space="preserve">Quotation Estimate No. QTE-RYD-2025-04782 | Issued for Saudi Arabia Riyadh | Page 1 of 1</w:t>
      </w:r>
    </w:p>
    <w:p>
      <w:pPr>
        <w:pStyle w:val="BodyText"/>
      </w:pPr>
      <w:r>
        <w:t xml:space="preserve">This document is confidential and intended solely for the named recipient. Unauthorized reproduction or distribution is prohibited under Saudi Arabian commercial law.</w:t>
      </w:r>
    </w:p>
    <w:p>
      <w:pPr>
        <w:pStyle w:val="BodyText"/>
      </w:pPr>
      <w:r>
        <w:t xml:space="preserve">© 2025 Academic Services Division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Saudi Arabia Riyadh</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