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Academic Professional Services — Professor Engagement</w:t>
      </w:r>
    </w:p>
    <w:p>
      <w:pPr>
        <w:pStyle w:val="BodyText"/>
      </w:pPr>
      <w:r>
        <w:t xml:space="preserve">Dakar, Senegal • Republic of Senegal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QE-SEN-DKR-2025-0417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Amadou Diallo, Director of Academic Affairs — Senegal Dakar Office</w:t>
            </w:r>
          </w:p>
        </w:tc>
      </w:tr>
      <w:tr>
        <w:tc>
          <w:tcPr/>
          <w:p>
            <w:pPr>
              <w:pStyle w:val="Compact"/>
              <w:jc w:val="left"/>
            </w:pPr>
            <w:r>
              <w:t xml:space="preserve">Prepared For:</w:t>
            </w:r>
          </w:p>
        </w:tc>
        <w:tc>
          <w:tcPr/>
          <w:p>
            <w:pPr>
              <w:pStyle w:val="Compact"/>
              <w:jc w:val="left"/>
            </w:pPr>
            <w:r>
              <w:t xml:space="preserve">Université Cheikh Anta Diop de Dakar (UCAD), Faculté des Sciences, BP 1332, Dakar, Senegal</w:t>
            </w:r>
          </w:p>
        </w:tc>
      </w:tr>
      <w:tr>
        <w:tc>
          <w:tcPr/>
          <w:p>
            <w:pPr>
              <w:pStyle w:val="Compact"/>
              <w:jc w:val="left"/>
            </w:pPr>
            <w:r>
              <w:t xml:space="preserve">Currency:</w:t>
            </w:r>
          </w:p>
        </w:tc>
        <w:tc>
          <w:tcPr/>
          <w:p>
            <w:pPr>
              <w:pStyle w:val="Compact"/>
              <w:jc w:val="left"/>
            </w:pPr>
            <w:r>
              <w:t xml:space="preserve">West African CFA Franc (XOF) / US Dollar (USD)</w:t>
            </w:r>
          </w:p>
        </w:tc>
      </w:tr>
      <w:tr>
        <w:tc>
          <w:tcPr/>
          <w:p>
            <w:pPr>
              <w:pStyle w:val="Compact"/>
              <w:jc w:val="left"/>
            </w:pPr>
            <w:r>
              <w:t xml:space="preserve">Contact Address:</w:t>
            </w:r>
          </w:p>
        </w:tc>
        <w:tc>
          <w:tcPr/>
          <w:p>
            <w:pPr>
              <w:pStyle w:val="Compact"/>
              <w:jc w:val="left"/>
            </w:pPr>
            <w:r>
              <w:t xml:space="preserve">12 Avenue Cheikh Anta Diop, Plateau, Dakar, Senegal — Tel: +221 33 821 45 67 — Email: academic@ucad.sn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w:t>
      </w:r>
      <w:r>
        <w:t xml:space="preserve"> </w:t>
      </w:r>
      <w:r>
        <w:t xml:space="preserve">Professor</w:t>
      </w:r>
      <w:r>
        <w:t xml:space="preserve"> </w:t>
      </w:r>
      <w:r>
        <w:t xml:space="preserve">of Applied Mathematics and Computational Sciences at the Université Cheikh Anta Diop de Dakar, located in the capital city of</w:t>
      </w:r>
      <w:r>
        <w:t xml:space="preserve"> </w:t>
      </w:r>
      <w:r>
        <w:t xml:space="preserve">Senegal Dakar</w:t>
      </w:r>
      <w:r>
        <w:t xml:space="preserve">. The purpose of this document is to outline all anticipated costs, compensation structures, and associated expenses for the academic year 2025–2026. This</w:t>
      </w:r>
      <w:r>
        <w:t xml:space="preserve"> </w:t>
      </w:r>
      <w:r>
        <w:t xml:space="preserve">Quotation Estimate</w:t>
      </w:r>
      <w:r>
        <w:t xml:space="preserve"> </w:t>
      </w:r>
      <w:r>
        <w:t xml:space="preserve">has been prepared in accordance with the academic hiring regulations of the Republic of Senegal and the institutional policies governing the recruitment of senior academic staff in</w:t>
      </w:r>
      <w:r>
        <w:t xml:space="preserve"> </w:t>
      </w:r>
      <w:r>
        <w:t xml:space="preserve">Senegal Dakar</w:t>
      </w:r>
      <w:r>
        <w:t xml:space="preserve">.</w:t>
      </w:r>
    </w:p>
    <w:bookmarkEnd w:id="21"/>
    <w:bookmarkStart w:id="22" w:name="professor-profile-and-role-description"/>
    <w:p>
      <w:pPr>
        <w:pStyle w:val="Heading2"/>
      </w:pPr>
      <w:r>
        <w:t xml:space="preserve">2. Professor Profile and Role Description</w:t>
      </w:r>
    </w:p>
    <w:p>
      <w:pPr>
        <w:pStyle w:val="FirstParagraph"/>
      </w:pPr>
      <w:r>
        <w:t xml:space="preserve">The</w:t>
      </w:r>
      <w:r>
        <w:t xml:space="preserve"> </w:t>
      </w:r>
      <w:r>
        <w:t xml:space="preserve">Professor</w:t>
      </w:r>
      <w:r>
        <w:t xml:space="preserve"> </w:t>
      </w:r>
      <w:r>
        <w:t xml:space="preserve">to be engaged under this</w:t>
      </w:r>
      <w:r>
        <w:t xml:space="preserve"> </w:t>
      </w:r>
      <w:r>
        <w:t xml:space="preserve">Quotation Estimate</w:t>
      </w:r>
      <w:r>
        <w:t xml:space="preserve"> </w:t>
      </w:r>
      <w:r>
        <w:t xml:space="preserve">shall hold a confirmed full Professorship (Professeur Titulaire) in the field of Applied Mathematics, with a minimum of fifteen (15) years of post-doctoral research experience and a demonstrated record of peer-reviewed publications in international journals. The</w:t>
      </w:r>
      <w:r>
        <w:t xml:space="preserve"> </w:t>
      </w:r>
      <w:r>
        <w:t xml:space="preserve">Professor</w:t>
      </w:r>
      <w:r>
        <w:t xml:space="preserve"> </w:t>
      </w:r>
      <w:r>
        <w:t xml:space="preserve">will be based at the UCAD campus in</w:t>
      </w:r>
      <w:r>
        <w:t xml:space="preserve"> </w:t>
      </w:r>
      <w:r>
        <w:t xml:space="preserve">Senegal Dakar</w:t>
      </w:r>
      <w:r>
        <w:t xml:space="preserve"> </w:t>
      </w:r>
      <w:r>
        <w:t xml:space="preserve">and will be responsible for the following duties:</w:t>
      </w:r>
    </w:p>
    <w:p>
      <w:pPr>
        <w:numPr>
          <w:ilvl w:val="0"/>
          <w:numId w:val="1001"/>
        </w:numPr>
        <w:pStyle w:val="Compact"/>
      </w:pPr>
      <w:r>
        <w:t xml:space="preserve">Delivery of undergraduate and graduate-level courses in Applied Mathematics, Numerical Analysis, and Computational Modeling (minimum 180 contact hours per academic year).</w:t>
      </w:r>
    </w:p>
    <w:p>
      <w:pPr>
        <w:numPr>
          <w:ilvl w:val="0"/>
          <w:numId w:val="1001"/>
        </w:numPr>
        <w:pStyle w:val="Compact"/>
      </w:pPr>
      <w:r>
        <w:t xml:space="preserve">Supervision of a minimum of six (6) Master's theses and three (3) Doctoral dissertations per year.</w:t>
      </w:r>
    </w:p>
    <w:p>
      <w:pPr>
        <w:numPr>
          <w:ilvl w:val="0"/>
          <w:numId w:val="1001"/>
        </w:numPr>
        <w:pStyle w:val="Compact"/>
      </w:pPr>
      <w:r>
        <w:t xml:space="preserve">Leadership of the Department of Mathematical Sciences, including curriculum development and faculty mentoring.</w:t>
      </w:r>
    </w:p>
    <w:p>
      <w:pPr>
        <w:numPr>
          <w:ilvl w:val="0"/>
          <w:numId w:val="1001"/>
        </w:numPr>
        <w:pStyle w:val="Compact"/>
      </w:pPr>
      <w:r>
        <w:t xml:space="preserve">Active participation in research projects funded by the Senegalese Ministry of Higher Education and international grant agencies.</w:t>
      </w:r>
    </w:p>
    <w:p>
      <w:pPr>
        <w:numPr>
          <w:ilvl w:val="0"/>
          <w:numId w:val="1001"/>
        </w:numPr>
        <w:pStyle w:val="Compact"/>
      </w:pPr>
      <w:r>
        <w:t xml:space="preserve">Representation of the institution at national and international academic conferences, particularly those hosted in</w:t>
      </w:r>
      <w:r>
        <w:t xml:space="preserve"> </w:t>
      </w:r>
      <w:r>
        <w:t xml:space="preserve">Senegal Dakar</w:t>
      </w:r>
      <w:r>
        <w:t xml:space="preserve"> </w:t>
      </w:r>
      <w:r>
        <w:t xml:space="preserve">and across the West African region.</w:t>
      </w:r>
    </w:p>
    <w:p>
      <w:pPr>
        <w:numPr>
          <w:ilvl w:val="0"/>
          <w:numId w:val="1001"/>
        </w:numPr>
        <w:pStyle w:val="Compact"/>
      </w:pPr>
      <w:r>
        <w:t xml:space="preserve">Mentoring of junior faculty members and post-doctoral researchers within the</w:t>
      </w:r>
      <w:r>
        <w:t xml:space="preserve"> </w:t>
      </w:r>
      <w:r>
        <w:t xml:space="preserve">Professor</w:t>
      </w:r>
      <w:r>
        <w:t xml:space="preserve"> </w:t>
      </w:r>
      <w:r>
        <w:t xml:space="preserve">cohort at UCAD.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Amount (XOF)</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Annual Base Salary — Professor (Full Professorship, Grade A1)</w:t>
            </w:r>
          </w:p>
        </w:tc>
        <w:tc>
          <w:tcPr/>
          <w:p>
            <w:pPr>
              <w:pStyle w:val="Compact"/>
              <w:jc w:val="left"/>
            </w:pPr>
            <w:r>
              <w:t xml:space="preserve">Annual</w:t>
            </w:r>
          </w:p>
        </w:tc>
        <w:tc>
          <w:tcPr/>
          <w:p>
            <w:pPr>
              <w:pStyle w:val="Compact"/>
              <w:jc w:val="left"/>
            </w:pPr>
            <w:r>
              <w:t xml:space="preserve">18,500,000</w:t>
            </w:r>
          </w:p>
        </w:tc>
        <w:tc>
          <w:tcPr/>
          <w:p>
            <w:pPr>
              <w:pStyle w:val="Compact"/>
              <w:jc w:val="left"/>
            </w:pPr>
            <w:r>
              <w:t xml:space="preserve">30,833</w:t>
            </w:r>
          </w:p>
        </w:tc>
      </w:tr>
      <w:tr>
        <w:tc>
          <w:tcPr/>
          <w:p>
            <w:pPr>
              <w:pStyle w:val="Compact"/>
              <w:jc w:val="left"/>
            </w:pPr>
            <w:r>
              <w:t xml:space="preserve">3.2</w:t>
            </w:r>
          </w:p>
        </w:tc>
        <w:tc>
          <w:tcPr/>
          <w:p>
            <w:pPr>
              <w:pStyle w:val="Compact"/>
              <w:jc w:val="left"/>
            </w:pPr>
            <w:r>
              <w:t xml:space="preserve">Academic Excellence Allowance (research output bonus)</w:t>
            </w:r>
          </w:p>
        </w:tc>
        <w:tc>
          <w:tcPr/>
          <w:p>
            <w:pPr>
              <w:pStyle w:val="Compact"/>
              <w:jc w:val="left"/>
            </w:pPr>
            <w:r>
              <w:t xml:space="preserve">Annual</w:t>
            </w:r>
          </w:p>
        </w:tc>
        <w:tc>
          <w:tcPr/>
          <w:p>
            <w:pPr>
              <w:pStyle w:val="Compact"/>
              <w:jc w:val="left"/>
            </w:pPr>
            <w:r>
              <w:t xml:space="preserve">3,200,000</w:t>
            </w:r>
          </w:p>
        </w:tc>
        <w:tc>
          <w:tcPr/>
          <w:p>
            <w:pPr>
              <w:pStyle w:val="Compact"/>
              <w:jc w:val="left"/>
            </w:pPr>
            <w:r>
              <w:t xml:space="preserve">5,333</w:t>
            </w:r>
          </w:p>
        </w:tc>
      </w:tr>
      <w:tr>
        <w:tc>
          <w:tcPr/>
          <w:p>
            <w:pPr>
              <w:pStyle w:val="Compact"/>
              <w:jc w:val="left"/>
            </w:pPr>
            <w:r>
              <w:t xml:space="preserve">3.3</w:t>
            </w:r>
          </w:p>
        </w:tc>
        <w:tc>
          <w:tcPr/>
          <w:p>
            <w:pPr>
              <w:pStyle w:val="Compact"/>
              <w:jc w:val="left"/>
            </w:pPr>
            <w:r>
              <w:t xml:space="preserve">Relocation and Installation Package (one-time, for international</w:t>
            </w:r>
            <w:r>
              <w:t xml:space="preserve"> </w:t>
            </w:r>
            <w:r>
              <w:t xml:space="preserve">Professor</w:t>
            </w:r>
            <w:r>
              <w:t xml:space="preserve"> </w:t>
            </w:r>
            <w:r>
              <w:t xml:space="preserve">candidates)</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7,500</w:t>
            </w:r>
          </w:p>
        </w:tc>
      </w:tr>
      <w:tr>
        <w:tc>
          <w:tcPr/>
          <w:p>
            <w:pPr>
              <w:pStyle w:val="Compact"/>
              <w:jc w:val="left"/>
            </w:pPr>
            <w:r>
              <w:t xml:space="preserve">3.4</w:t>
            </w:r>
          </w:p>
        </w:tc>
        <w:tc>
          <w:tcPr/>
          <w:p>
            <w:pPr>
              <w:pStyle w:val="Compact"/>
              <w:jc w:val="left"/>
            </w:pPr>
            <w:r>
              <w:t xml:space="preserve">Housing Subsidy (institutional residence in Plateau district,</w:t>
            </w:r>
            <w:r>
              <w:t xml:space="preserve"> </w:t>
            </w:r>
            <w:r>
              <w:t xml:space="preserve">Senegal Dakar</w:t>
            </w:r>
            <w:r>
              <w:t xml:space="preserve">)</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3.5</w:t>
            </w:r>
          </w:p>
        </w:tc>
        <w:tc>
          <w:tcPr/>
          <w:p>
            <w:pPr>
              <w:pStyle w:val="Compact"/>
              <w:jc w:val="left"/>
            </w:pPr>
            <w:r>
              <w:t xml:space="preserve">Research Grant — Departmental Fund (equipment, software, lab access)</w:t>
            </w:r>
          </w:p>
        </w:tc>
        <w:tc>
          <w:tcPr/>
          <w:p>
            <w:pPr>
              <w:pStyle w:val="Compact"/>
              <w:jc w:val="left"/>
            </w:pPr>
            <w:r>
              <w:t xml:space="preserve">Annual</w:t>
            </w:r>
          </w:p>
        </w:tc>
        <w:tc>
          <w:tcPr/>
          <w:p>
            <w:pPr>
              <w:pStyle w:val="Compact"/>
              <w:jc w:val="left"/>
            </w:pPr>
            <w:r>
              <w:t xml:space="preserve">2,800,000</w:t>
            </w:r>
          </w:p>
        </w:tc>
        <w:tc>
          <w:tcPr/>
          <w:p>
            <w:pPr>
              <w:pStyle w:val="Compact"/>
              <w:jc w:val="left"/>
            </w:pPr>
            <w:r>
              <w:t xml:space="preserve">4,667</w:t>
            </w:r>
          </w:p>
        </w:tc>
      </w:tr>
      <w:tr>
        <w:tc>
          <w:tcPr/>
          <w:p>
            <w:pPr>
              <w:pStyle w:val="Compact"/>
              <w:jc w:val="left"/>
            </w:pPr>
            <w:r>
              <w:t xml:space="preserve">3.6</w:t>
            </w:r>
          </w:p>
        </w:tc>
        <w:tc>
          <w:tcPr/>
          <w:p>
            <w:pPr>
              <w:pStyle w:val="Compact"/>
              <w:jc w:val="left"/>
            </w:pPr>
            <w:r>
              <w:t xml:space="preserve">Conference and Travel Allowance (minimum 2 international conferences per year)</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3,000</w:t>
            </w:r>
          </w:p>
        </w:tc>
      </w:tr>
      <w:tr>
        <w:tc>
          <w:tcPr/>
          <w:p>
            <w:pPr>
              <w:pStyle w:val="Compact"/>
              <w:jc w:val="left"/>
            </w:pPr>
            <w:r>
              <w:t xml:space="preserve">3.7</w:t>
            </w:r>
          </w:p>
        </w:tc>
        <w:tc>
          <w:tcPr/>
          <w:p>
            <w:pPr>
              <w:pStyle w:val="Compact"/>
              <w:jc w:val="left"/>
            </w:pPr>
            <w:r>
              <w:t xml:space="preserve">Health Insurance (comprehensive, covering</w:t>
            </w:r>
            <w:r>
              <w:t xml:space="preserve"> </w:t>
            </w:r>
            <w:r>
              <w:t xml:space="preserve">Professor</w:t>
            </w:r>
            <w:r>
              <w:t xml:space="preserve"> </w:t>
            </w:r>
            <w:r>
              <w:t xml:space="preserve">and immediate family)</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2,500</w:t>
            </w:r>
          </w:p>
        </w:tc>
      </w:tr>
      <w:tr>
        <w:tc>
          <w:tcPr/>
          <w:p>
            <w:pPr>
              <w:pStyle w:val="Compact"/>
              <w:jc w:val="left"/>
            </w:pPr>
            <w:r>
              <w:t xml:space="preserve">3.8</w:t>
            </w:r>
          </w:p>
        </w:tc>
        <w:tc>
          <w:tcPr/>
          <w:p>
            <w:pPr>
              <w:pStyle w:val="Compact"/>
              <w:jc w:val="left"/>
            </w:pPr>
            <w:r>
              <w:t xml:space="preserve">Transportation Allowance (vehicle or monthly transport stipend within</w:t>
            </w:r>
            <w:r>
              <w:t xml:space="preserve"> </w:t>
            </w:r>
            <w:r>
              <w:t xml:space="preserve">Senegal Dakar</w:t>
            </w:r>
            <w:r>
              <w:t xml:space="preserve">)</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583</w:t>
            </w:r>
          </w:p>
        </w:tc>
      </w:tr>
      <w:tr>
        <w:tc>
          <w:tcPr/>
          <w:p>
            <w:pPr>
              <w:pStyle w:val="Compact"/>
              <w:jc w:val="left"/>
            </w:pPr>
            <w:r>
              <w:t xml:space="preserve">3.9</w:t>
            </w:r>
          </w:p>
        </w:tc>
        <w:tc>
          <w:tcPr/>
          <w:p>
            <w:pPr>
              <w:pStyle w:val="Compact"/>
              <w:jc w:val="left"/>
            </w:pPr>
            <w:r>
              <w:t xml:space="preserve">Annual Leave Airfare (round-trip to country of origin, economy class)</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3.10</w:t>
            </w:r>
          </w:p>
        </w:tc>
        <w:tc>
          <w:tcPr/>
          <w:p>
            <w:pPr>
              <w:pStyle w:val="Compact"/>
              <w:jc w:val="left"/>
            </w:pPr>
            <w:r>
              <w:t xml:space="preserve">End-of-Contract Severance / Repatriation Assistance</w:t>
            </w:r>
          </w:p>
        </w:tc>
        <w:tc>
          <w:tcPr/>
          <w:p>
            <w:pPr>
              <w:pStyle w:val="Compact"/>
              <w:jc w:val="left"/>
            </w:pPr>
            <w:r>
              <w:t xml:space="preserve">One-time</w:t>
            </w:r>
          </w:p>
        </w:tc>
        <w:tc>
          <w:tcPr/>
          <w:p>
            <w:pPr>
              <w:pStyle w:val="Compact"/>
              <w:jc w:val="left"/>
            </w:pPr>
            <w:r>
              <w:t xml:space="preserve">2,000,000</w:t>
            </w:r>
          </w:p>
        </w:tc>
        <w:tc>
          <w:tcPr/>
          <w:p>
            <w:pPr>
              <w:pStyle w:val="Compact"/>
              <w:jc w:val="left"/>
            </w:pPr>
            <w:r>
              <w:t xml:space="preserve">3,333</w:t>
            </w:r>
          </w:p>
        </w:tc>
      </w:tr>
      <w:tr>
        <w:tc>
          <w:tcPr>
            <w:gridSpan w:val="3"/>
          </w:tcPr>
          <w:p>
            <w:pPr>
              <w:pStyle w:val="Compact"/>
              <w:jc w:val="left"/>
            </w:pPr>
            <w:r>
              <w:t xml:space="preserve">TOTAL ESTIMATED ANNUAL COST (Year 1, including one-time items)</w:t>
            </w:r>
          </w:p>
        </w:tc>
        <w:tc>
          <w:tcPr/>
          <w:p>
            <w:pPr>
              <w:pStyle w:val="Compact"/>
              <w:jc w:val="left"/>
            </w:pPr>
            <w:r>
              <w:t xml:space="preserve">37,000,000</w:t>
            </w:r>
          </w:p>
        </w:tc>
        <w:tc>
          <w:tcPr/>
          <w:p>
            <w:pPr>
              <w:pStyle w:val="Compact"/>
              <w:jc w:val="left"/>
            </w:pPr>
            <w:r>
              <w:t xml:space="preserve">61,666</w:t>
            </w:r>
          </w:p>
        </w:tc>
      </w:tr>
      <w:tr>
        <w:tc>
          <w:tcPr>
            <w:gridSpan w:val="3"/>
          </w:tcPr>
          <w:p>
            <w:pPr>
              <w:pStyle w:val="Compact"/>
              <w:jc w:val="left"/>
            </w:pPr>
            <w:r>
              <w:t xml:space="preserve">TOTAL ESTIMATED ANNUAL COST (Year 2 onward, recurring only)</w:t>
            </w:r>
          </w:p>
        </w:tc>
        <w:tc>
          <w:tcPr/>
          <w:p>
            <w:pPr>
              <w:pStyle w:val="Compact"/>
              <w:jc w:val="left"/>
            </w:pPr>
            <w:r>
              <w:t xml:space="preserve">30,500,000</w:t>
            </w:r>
          </w:p>
        </w:tc>
        <w:tc>
          <w:tcPr/>
          <w:p>
            <w:pPr>
              <w:pStyle w:val="Compact"/>
              <w:jc w:val="left"/>
            </w:pPr>
            <w:r>
              <w:t xml:space="preserve">50,833</w:t>
            </w:r>
          </w:p>
        </w:tc>
      </w:tr>
    </w:tbl>
    <w:p>
      <w:pPr>
        <w:pStyle w:val="BodyText"/>
      </w:pPr>
      <w:r>
        <w:rPr>
          <w:bCs/>
          <w:b/>
        </w:rPr>
        <w:t xml:space="preserve">Note:</w:t>
      </w:r>
      <w:r>
        <w:t xml:space="preserve"> </w:t>
      </w:r>
      <w:r>
        <w:t xml:space="preserve">All amounts in West African CFA Franc (XOF) are subject to the prevailing exchange rate set by the BCEAO (Banque Centrale des États de l'Afrique de l'Ouest). The USD equivalents provided in this</w:t>
      </w:r>
      <w:r>
        <w:t xml:space="preserve"> </w:t>
      </w:r>
      <w:r>
        <w:t xml:space="preserve">Quotation Estimate</w:t>
      </w:r>
      <w:r>
        <w:t xml:space="preserve"> </w:t>
      </w:r>
      <w:r>
        <w:t xml:space="preserve">are indicative only and based on a reference rate of 1 USD = 608 XOF as of the date of issue. Final settlement shall be made in XOF in accordance with Senegalese fiscal regulations.</w:t>
      </w:r>
    </w:p>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figures are subject to revision based on prevailing economic conditions in</w:t>
      </w:r>
      <w:r>
        <w:t xml:space="preserve"> </w:t>
      </w:r>
      <w:r>
        <w:t xml:space="preserve">Senegal Dakar</w:t>
      </w:r>
      <w:r>
        <w:t xml:space="preserve"> </w:t>
      </w:r>
      <w:r>
        <w:t xml:space="preserve">and institutional budget allocations.</w:t>
      </w:r>
    </w:p>
    <w:p>
      <w:pPr>
        <w:numPr>
          <w:ilvl w:val="0"/>
          <w:numId w:val="1002"/>
        </w:numPr>
        <w:pStyle w:val="Compact"/>
      </w:pPr>
      <w:r>
        <w:rPr>
          <w:bCs/>
          <w:b/>
        </w:rPr>
        <w:t xml:space="preserve">Contract Duration:</w:t>
      </w:r>
      <w:r>
        <w:t xml:space="preserve"> </w:t>
      </w:r>
      <w:r>
        <w:t xml:space="preserve">The engagement of the</w:t>
      </w:r>
      <w:r>
        <w:t xml:space="preserve"> </w:t>
      </w:r>
      <w:r>
        <w:t xml:space="preserve">Professor</w:t>
      </w:r>
      <w:r>
        <w:t xml:space="preserve"> </w:t>
      </w:r>
      <w:r>
        <w:t xml:space="preserve">shall be for an initial period of three (3) academic years, renewable upon mutual agreement and satisfactory performance evaluation conducted by the UCAD Academic Council.</w:t>
      </w:r>
    </w:p>
    <w:p>
      <w:pPr>
        <w:numPr>
          <w:ilvl w:val="0"/>
          <w:numId w:val="1002"/>
        </w:numPr>
        <w:pStyle w:val="Compact"/>
      </w:pPr>
      <w:r>
        <w:rPr>
          <w:bCs/>
          <w:b/>
        </w:rPr>
        <w:t xml:space="preserve">Payment Schedule:</w:t>
      </w:r>
      <w:r>
        <w:t xml:space="preserve"> </w:t>
      </w:r>
      <w:r>
        <w:t xml:space="preserve">Base salary and monthly allowances shall be disbursed on the last working day of each month via bank transfer to the</w:t>
      </w:r>
      <w:r>
        <w:t xml:space="preserve"> </w:t>
      </w:r>
      <w:r>
        <w:t xml:space="preserve">Professor</w:t>
      </w:r>
      <w:r>
        <w:t xml:space="preserve">'s designated account at a licensed financial institution in</w:t>
      </w:r>
      <w:r>
        <w:t xml:space="preserve"> </w:t>
      </w:r>
      <w:r>
        <w:t xml:space="preserve">Senegal Dakar</w:t>
      </w:r>
      <w:r>
        <w:t xml:space="preserve">. Annual items (research grant, conference allowance, airfare) shall be disbursed in two equal installments at the beginning and midpoint of the academic year.</w:t>
      </w:r>
    </w:p>
    <w:p>
      <w:pPr>
        <w:numPr>
          <w:ilvl w:val="0"/>
          <w:numId w:val="1002"/>
        </w:numPr>
        <w:pStyle w:val="Compact"/>
      </w:pPr>
      <w:r>
        <w:rPr>
          <w:bCs/>
          <w:b/>
        </w:rPr>
        <w:t xml:space="preserve">Tax Obligations:</w:t>
      </w:r>
      <w:r>
        <w:t xml:space="preserve"> </w:t>
      </w:r>
      <w:r>
        <w:t xml:space="preserve">All remuneration is subject to the applicable Senegalese income tax (Impôt sur le Revenu des Salaires) as governed by the Direction Générale des Impôts et des Domaines. The institution shall withhold applicable taxes at source in compliance with Senegalese law.</w:t>
      </w:r>
    </w:p>
    <w:p>
      <w:pPr>
        <w:numPr>
          <w:ilvl w:val="0"/>
          <w:numId w:val="1002"/>
        </w:numPr>
        <w:pStyle w:val="Compact"/>
      </w:pPr>
      <w:r>
        <w:rPr>
          <w:bCs/>
          <w:b/>
        </w:rPr>
        <w:t xml:space="preserve">Working Hours:</w:t>
      </w:r>
      <w:r>
        <w:t xml:space="preserve"> </w:t>
      </w:r>
      <w:r>
        <w:t xml:space="preserve">The</w:t>
      </w:r>
      <w:r>
        <w:t xml:space="preserve"> </w:t>
      </w:r>
      <w:r>
        <w:t xml:space="preserve">Professor</w:t>
      </w:r>
      <w:r>
        <w:t xml:space="preserve"> </w:t>
      </w:r>
      <w:r>
        <w:t xml:space="preserve">shall observe the standard academic calendar of UCAD, with teaching duties concentrated in the first and second semesters and a dedicated research period during the third semester and summer months.</w:t>
      </w:r>
    </w:p>
    <w:p>
      <w:pPr>
        <w:numPr>
          <w:ilvl w:val="0"/>
          <w:numId w:val="1002"/>
        </w:numPr>
        <w:pStyle w:val="Compact"/>
      </w:pPr>
      <w:r>
        <w:rPr>
          <w:bCs/>
          <w:b/>
        </w:rPr>
        <w:t xml:space="preserve">Termination:</w:t>
      </w:r>
      <w:r>
        <w:t xml:space="preserve"> </w:t>
      </w:r>
      <w:r>
        <w:t xml:space="preserve">Either party may terminate the engagement with a written notice of three (3) months. In the event of early termination by the institution without cause, the</w:t>
      </w:r>
      <w:r>
        <w:t xml:space="preserve"> </w:t>
      </w:r>
      <w:r>
        <w:t xml:space="preserve">Professor</w:t>
      </w:r>
      <w:r>
        <w:t xml:space="preserve"> </w:t>
      </w:r>
      <w:r>
        <w:t xml:space="preserve">shall be entitled to the full severance and repatriation assistance outlined in item 3.10 of this</w:t>
      </w:r>
      <w:r>
        <w:t xml:space="preserve"> </w:t>
      </w:r>
      <w:r>
        <w:t xml:space="preserve">Quotation Estimate</w:t>
      </w:r>
      <w:r>
        <w:t xml:space="preserve">.</w:t>
      </w:r>
    </w:p>
    <w:p>
      <w:pPr>
        <w:numPr>
          <w:ilvl w:val="0"/>
          <w:numId w:val="1002"/>
        </w:numPr>
        <w:pStyle w:val="Compact"/>
      </w:pPr>
      <w:r>
        <w:rPr>
          <w:bCs/>
          <w:b/>
        </w:rPr>
        <w:t xml:space="preserve">Intellectual Property:</w:t>
      </w:r>
      <w:r>
        <w:t xml:space="preserve"> </w:t>
      </w:r>
      <w:r>
        <w:t xml:space="preserve">All research outputs, publications, and patents generated during the tenure of the</w:t>
      </w:r>
      <w:r>
        <w:t xml:space="preserve"> </w:t>
      </w:r>
      <w:r>
        <w:t xml:space="preserve">Professor</w:t>
      </w:r>
      <w:r>
        <w:t xml:space="preserve"> </w:t>
      </w:r>
      <w:r>
        <w:t xml:space="preserve">at UCAD,</w:t>
      </w:r>
      <w:r>
        <w:t xml:space="preserve"> </w:t>
      </w:r>
      <w:r>
        <w:t xml:space="preserve">Senegal Dakar</w:t>
      </w:r>
      <w:r>
        <w:t xml:space="preserve">, shall be jointly owned by the</w:t>
      </w:r>
      <w:r>
        <w:t xml:space="preserve"> </w:t>
      </w:r>
      <w:r>
        <w:t xml:space="preserve">Professor</w:t>
      </w:r>
      <w:r>
        <w:t xml:space="preserve"> </w:t>
      </w:r>
      <w:r>
        <w:t xml:space="preserve">and the institution, with the</w:t>
      </w:r>
      <w:r>
        <w:t xml:space="preserve"> </w:t>
      </w:r>
      <w:r>
        <w:t xml:space="preserve">Professor</w:t>
      </w:r>
      <w:r>
        <w:t xml:space="preserve"> </w:t>
      </w:r>
      <w:r>
        <w:t xml:space="preserve">retaining primary authorship rights on academic publications.</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the subsequent employment contract shall be governed by and interpreted in accordance with the labor and academic regulations of the Republic of Senegal, with jurisdiction vested in the competent courts of</w:t>
      </w:r>
      <w:r>
        <w:t xml:space="preserve"> </w:t>
      </w:r>
      <w:r>
        <w:t xml:space="preserve">Senegal Dakar</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representatives of both parties acknowledge that this</w:t>
      </w:r>
      <w:r>
        <w:t xml:space="preserve"> </w:t>
      </w:r>
      <w:r>
        <w:t xml:space="preserve">Quotation Estimate</w:t>
      </w:r>
      <w:r>
        <w:t xml:space="preserve"> </w:t>
      </w:r>
      <w:r>
        <w:t xml:space="preserve">accurately reflects the agreed-upon terms for the engagement of the</w:t>
      </w:r>
      <w:r>
        <w:t xml:space="preserve"> </w:t>
      </w:r>
      <w:r>
        <w:t xml:space="preserve">Professor</w:t>
      </w:r>
      <w:r>
        <w:t xml:space="preserve"> </w:t>
      </w:r>
      <w:r>
        <w:t xml:space="preserve">at the Université Cheikh Anta Diop de Dakar,</w:t>
      </w:r>
      <w:r>
        <w:t xml:space="preserve"> </w:t>
      </w:r>
      <w:r>
        <w:t xml:space="preserve">Senegal Dakar</w:t>
      </w:r>
      <w:r>
        <w:t xml:space="preserve">. This document does not constitute a binding employment contract but serves as the financial framework upon which the formal contract shall be drafted.</w:t>
      </w:r>
    </w:p>
    <w:p>
      <w:pPr>
        <w:pStyle w:val="BodyText"/>
      </w:pPr>
      <w:r>
        <w:rPr>
          <w:bCs/>
          <w:b/>
        </w:rPr>
        <w:t xml:space="preserve">For the Institution:</w:t>
      </w:r>
      <w:r>
        <w:br/>
      </w:r>
      <w:r>
        <w:t xml:space="preserve">Université Cheikh Anta Diop de Dakar</w:t>
      </w:r>
      <w:r>
        <w:br/>
      </w:r>
      <w:r>
        <w:t xml:space="preserve">Faculté des Sciences,</w:t>
      </w:r>
      <w:r>
        <w:t xml:space="preserve"> </w:t>
      </w:r>
      <w:r>
        <w:t xml:space="preserve">Senegal Dakar</w:t>
      </w:r>
    </w:p>
    <w:p>
      <w:pPr>
        <w:pStyle w:val="BodyText"/>
      </w:pPr>
      <w:r>
        <w:t xml:space="preserve">Name: ______________________________</w:t>
      </w:r>
      <w:r>
        <w:br/>
      </w:r>
      <w:r>
        <w:t xml:space="preserve">Title: Doyen de la Faculté</w:t>
      </w:r>
      <w:r>
        <w:br/>
      </w:r>
      <w:r>
        <w:t xml:space="preserve">Signature &amp; Date: ______________________________</w:t>
      </w:r>
    </w:p>
    <w:p>
      <w:pPr>
        <w:pStyle w:val="BodyText"/>
      </w:pPr>
      <w:r>
        <w:rPr>
          <w:bCs/>
          <w:b/>
        </w:rPr>
        <w:t xml:space="preserve">For the Professor:</w:t>
      </w:r>
      <w:r>
        <w:br/>
      </w:r>
      <w:r>
        <w:t xml:space="preserve">Applicant / Incumbent</w:t>
      </w:r>
      <w:r>
        <w:br/>
      </w:r>
      <w:r>
        <w:t xml:space="preserve">Applied Mathematics &amp; Computational Sciences</w:t>
      </w:r>
    </w:p>
    <w:p>
      <w:pPr>
        <w:pStyle w:val="BodyText"/>
      </w:pPr>
      <w:r>
        <w:t xml:space="preserve">Name: ______________________________</w:t>
      </w:r>
      <w:r>
        <w:br/>
      </w:r>
      <w:r>
        <w:t xml:space="preserve">Title: Professeur Titulaire</w:t>
      </w:r>
      <w:r>
        <w:br/>
      </w:r>
      <w:r>
        <w:t xml:space="preserve">Signature &amp; Date: ______________________________</w:t>
      </w:r>
    </w:p>
    <w:p>
      <w:pPr>
        <w:pStyle w:val="BodyText"/>
      </w:pPr>
      <w:r>
        <w:t xml:space="preserve">Quotation Estimate No. QE-SEN-DKR-2025-0417 • Issued in</w:t>
      </w:r>
      <w:r>
        <w:t xml:space="preserve"> </w:t>
      </w:r>
      <w:r>
        <w:t xml:space="preserve">Senegal Dakar</w:t>
      </w:r>
      <w:r>
        <w:t xml:space="preserve">, Republic of Senegal • Page 1 of 1</w:t>
      </w:r>
    </w:p>
    <w:p>
      <w:pPr>
        <w:pStyle w:val="BodyText"/>
      </w:pPr>
      <w:r>
        <w:t xml:space="preserve">This document is the property of Université Cheikh Anta Diop de Dakar.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Senegal Dakar</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