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Academic &amp; Professional Services Division</w:t>
      </w:r>
    </w:p>
    <w:p>
      <w:pPr>
        <w:pStyle w:val="BodyText"/>
      </w:pPr>
      <w:r>
        <w:t xml:space="preserve">Siam Academic Partners Co., Ltd. | 128 Sukhumvit Road, Khlong Toei, Bangkok 10110, Thailand</w:t>
      </w:r>
    </w:p>
    <w:p>
      <w:pPr>
        <w:pStyle w:val="BodyText"/>
      </w:pPr>
      <w:r>
        <w:t xml:space="preserve">Tel: +66-2-255-0148 | Email: quotations@siamacademicpartners.co.th</w:t>
      </w:r>
    </w:p>
    <w:bookmarkEnd w:id="20"/>
    <w:p>
      <w:pPr>
        <w:pStyle w:val="BodyText"/>
      </w:pPr>
      <w:r>
        <w:rPr>
          <w:bCs/>
          <w:b/>
        </w:rPr>
        <w:t xml:space="preserve">Quotation Estimate No.:</w:t>
      </w:r>
      <w:r>
        <w:t xml:space="preserve"> </w:t>
      </w:r>
      <w:r>
        <w:t xml:space="preserve">QTE-2025-BKK-0472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Chulalongkorn University – Faculty of Engineering</w:t>
      </w:r>
      <w:r>
        <w:br/>
      </w:r>
      <w:r>
        <w:t xml:space="preserve">254 Phayathai Road, Pathum Wan, Bangkok 10330, Thailand</w:t>
      </w:r>
      <w:r>
        <w:br/>
      </w:r>
      <w:r>
        <w:rPr>
          <w:bCs/>
          <w:b/>
        </w:rPr>
        <w:t xml:space="preserve">Attn:</w:t>
      </w:r>
      <w:r>
        <w:t xml:space="preserve"> </w:t>
      </w:r>
      <w:r>
        <w:t xml:space="preserve">Assoc. Dr. Nattapong Siriwat, Dean's Office</w:t>
      </w:r>
    </w:p>
    <w:p>
      <w:pPr>
        <w:pStyle w:val="BodyText"/>
      </w:pPr>
      <w:r>
        <w:t xml:space="preserve">Dear Esteemed Client,</w:t>
      </w:r>
    </w:p>
    <w:p>
      <w:pPr>
        <w:pStyle w:val="BodyText"/>
      </w:pPr>
      <w:r>
        <w:t xml:space="preserve">Thank you for your inquiry regarding the engagement of a senior academic professional for the upcoming academic year. Siam Academic Partners Co., Ltd. is pleased to present this</w:t>
      </w:r>
      <w:r>
        <w:t xml:space="preserve"> </w:t>
      </w:r>
      <w:r>
        <w:t xml:space="preserve">Quotation Estimate</w:t>
      </w:r>
      <w:r>
        <w:t xml:space="preserve"> </w:t>
      </w:r>
      <w:r>
        <w:t xml:space="preserve">for the services of a distinguished</w:t>
      </w:r>
      <w:r>
        <w:t xml:space="preserve"> </w:t>
      </w:r>
      <w:r>
        <w:t xml:space="preserve">Professor</w:t>
      </w:r>
      <w:r>
        <w:t xml:space="preserve"> </w:t>
      </w:r>
      <w:r>
        <w:t xml:space="preserve">to be deployed at your institution in</w:t>
      </w:r>
      <w:r>
        <w:t xml:space="preserve"> </w:t>
      </w:r>
      <w:r>
        <w:t xml:space="preserve">Thailand Bangkok</w:t>
      </w:r>
      <w:r>
        <w:t xml:space="preserve">. This document outlines the full scope of services, associated costs, and contractual terms governing the engagement. We have carefully structured this</w:t>
      </w:r>
      <w:r>
        <w:t xml:space="preserve"> </w:t>
      </w:r>
      <w:r>
        <w:t xml:space="preserve">Quotation Estimate</w:t>
      </w:r>
      <w:r>
        <w:t xml:space="preserve"> </w:t>
      </w:r>
      <w:r>
        <w:t xml:space="preserve">to reflect the premium nature of the</w:t>
      </w:r>
      <w:r>
        <w:t xml:space="preserve"> </w:t>
      </w:r>
      <w:r>
        <w:t xml:space="preserve">Professor</w:t>
      </w:r>
      <w:r>
        <w:t xml:space="preserve"> </w:t>
      </w:r>
      <w:r>
        <w:t xml:space="preserve">services being offered and the specific operational requirements of an academic institution located in the heart of</w:t>
      </w:r>
      <w:r>
        <w:t xml:space="preserve"> </w:t>
      </w:r>
      <w:r>
        <w:t xml:space="preserve">Thailand Bangkok</w:t>
      </w:r>
      <w:r>
        <w:t xml:space="preserve">.</w:t>
      </w:r>
    </w:p>
    <w:bookmarkStart w:id="21" w:name="scope-of-services-professor-engagement"/>
    <w:p>
      <w:pPr>
        <w:pStyle w:val="Heading2"/>
      </w:pPr>
      <w:r>
        <w:t xml:space="preserve">1. Scope of Services – Professor Engagement</w:t>
      </w:r>
    </w:p>
    <w:p>
      <w:pPr>
        <w:pStyle w:val="FirstParagraph"/>
      </w:pPr>
      <w:r>
        <w:t xml:space="preserve">The following</w:t>
      </w:r>
      <w:r>
        <w:t xml:space="preserve"> </w:t>
      </w:r>
      <w:r>
        <w:t xml:space="preserve">Quotation Estimate</w:t>
      </w:r>
      <w:r>
        <w:t xml:space="preserve"> </w:t>
      </w:r>
      <w:r>
        <w:t xml:space="preserve">covers the comprehensive engagement of</w:t>
      </w:r>
      <w:r>
        <w:t xml:space="preserve"> </w:t>
      </w:r>
      <w:r>
        <w:t xml:space="preserve">Professor</w:t>
      </w:r>
      <w:r>
        <w:t xml:space="preserve"> </w:t>
      </w:r>
      <w:r>
        <w:t xml:space="preserve">Dr. Ananda Krishnamurthy, a tenured full</w:t>
      </w:r>
      <w:r>
        <w:t xml:space="preserve"> </w:t>
      </w:r>
      <w:r>
        <w:t xml:space="preserve">Professor</w:t>
      </w:r>
      <w:r>
        <w:t xml:space="preserve"> </w:t>
      </w:r>
      <w:r>
        <w:t xml:space="preserve">in the field of Advanced Materials Science and Nanotechnology, for a period of twelve (12) months commencing 1 September 2025. The</w:t>
      </w:r>
      <w:r>
        <w:t xml:space="preserve"> </w:t>
      </w:r>
      <w:r>
        <w:t xml:space="preserve">Professor</w:t>
      </w:r>
      <w:r>
        <w:t xml:space="preserve"> </w:t>
      </w:r>
      <w:r>
        <w:t xml:space="preserve">will be based at the Chulalongkorn University campus in</w:t>
      </w:r>
      <w:r>
        <w:t xml:space="preserve"> </w:t>
      </w:r>
      <w:r>
        <w:t xml:space="preserve">Thailand Bangkok</w:t>
      </w:r>
      <w:r>
        <w:t xml:space="preserve"> </w:t>
      </w:r>
      <w:r>
        <w:t xml:space="preserve">and will deliver the following services:</w:t>
      </w:r>
    </w:p>
    <w:p>
      <w:pPr>
        <w:numPr>
          <w:ilvl w:val="0"/>
          <w:numId w:val="1001"/>
        </w:numPr>
        <w:pStyle w:val="Compact"/>
      </w:pPr>
      <w:r>
        <w:t xml:space="preserve">Delivery of two (2) graduate-level courses per semester (MSc and PhD level) in Advanced Nanomaterials and Computational Materials Science.</w:t>
      </w:r>
    </w:p>
    <w:p>
      <w:pPr>
        <w:numPr>
          <w:ilvl w:val="0"/>
          <w:numId w:val="1001"/>
        </w:numPr>
        <w:pStyle w:val="Compact"/>
      </w:pPr>
      <w:r>
        <w:t xml:space="preserve">Supervision of a minimum of four (4) PhD candidates and six (6) MSc students throughout the academic year.</w:t>
      </w:r>
    </w:p>
    <w:p>
      <w:pPr>
        <w:numPr>
          <w:ilvl w:val="0"/>
          <w:numId w:val="1001"/>
        </w:numPr>
        <w:pStyle w:val="Compact"/>
      </w:pPr>
      <w:r>
        <w:t xml:space="preserve">Conduct of weekly research seminars and laboratory sessions at the Bangkok campus facilities.</w:t>
      </w:r>
    </w:p>
    <w:p>
      <w:pPr>
        <w:numPr>
          <w:ilvl w:val="0"/>
          <w:numId w:val="1001"/>
        </w:numPr>
        <w:pStyle w:val="Compact"/>
      </w:pPr>
      <w:r>
        <w:t xml:space="preserve">Collaboration with the existing faculty team on joint research publications and grant applications.</w:t>
      </w:r>
    </w:p>
    <w:p>
      <w:pPr>
        <w:numPr>
          <w:ilvl w:val="0"/>
          <w:numId w:val="1001"/>
        </w:numPr>
        <w:pStyle w:val="Compact"/>
      </w:pPr>
      <w:r>
        <w:t xml:space="preserve">Participation in at least two (2) international academic conferences hosted in or related to</w:t>
      </w:r>
      <w:r>
        <w:t xml:space="preserve"> </w:t>
      </w:r>
      <w:r>
        <w:t xml:space="preserve">Thailand Bangkok</w:t>
      </w:r>
      <w:r>
        <w:t xml:space="preserve"> </w:t>
      </w:r>
      <w:r>
        <w:t xml:space="preserve">during the engagement period.</w:t>
      </w:r>
    </w:p>
    <w:p>
      <w:pPr>
        <w:numPr>
          <w:ilvl w:val="0"/>
          <w:numId w:val="1001"/>
        </w:numPr>
        <w:pStyle w:val="Compact"/>
      </w:pPr>
      <w:r>
        <w:t xml:space="preserve">Advisory support to the Dean's Office on curriculum development and academic accreditation matters.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Monthly Honorarium –</w:t>
            </w:r>
            <w:r>
              <w:t xml:space="preserve"> </w:t>
            </w:r>
            <w:r>
              <w:t xml:space="preserve">Professor</w:t>
            </w:r>
            <w:r>
              <w:t xml:space="preserve"> </w:t>
            </w:r>
            <w:r>
              <w:t xml:space="preserve">(Full-time academic engagement)</w:t>
            </w:r>
          </w:p>
        </w:tc>
        <w:tc>
          <w:tcPr/>
          <w:p>
            <w:pPr>
              <w:pStyle w:val="Compact"/>
              <w:jc w:val="left"/>
            </w:pPr>
            <w:r>
              <w:t xml:space="preserve">12 months</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International Airfare – Round trip (Home Country to Thailand Bangkok)</w:t>
            </w:r>
          </w:p>
        </w:tc>
        <w:tc>
          <w:tcPr/>
          <w:p>
            <w:pPr>
              <w:pStyle w:val="Compact"/>
              <w:jc w:val="left"/>
            </w:pPr>
            <w:r>
              <w:t xml:space="preserve">2 trips</w:t>
            </w:r>
          </w:p>
        </w:tc>
        <w:tc>
          <w:tcPr/>
          <w:p>
            <w:pPr>
              <w:pStyle w:val="Compact"/>
              <w:jc w:val="left"/>
            </w:pPr>
            <w:r>
              <w:t xml:space="preserve">186,000</w:t>
            </w:r>
          </w:p>
        </w:tc>
      </w:tr>
      <w:tr>
        <w:tc>
          <w:tcPr/>
          <w:p>
            <w:pPr>
              <w:pStyle w:val="Compact"/>
              <w:jc w:val="left"/>
            </w:pPr>
            <w:r>
              <w:t xml:space="preserve">03</w:t>
            </w:r>
          </w:p>
        </w:tc>
        <w:tc>
          <w:tcPr/>
          <w:p>
            <w:pPr>
              <w:pStyle w:val="Compact"/>
              <w:jc w:val="left"/>
            </w:pPr>
            <w:r>
              <w:t xml:space="preserve">Accommodation – Furnished apartment in Khlong Toei, Bangkok (12 months)</w:t>
            </w:r>
          </w:p>
        </w:tc>
        <w:tc>
          <w:tcPr/>
          <w:p>
            <w:pPr>
              <w:pStyle w:val="Compact"/>
              <w:jc w:val="left"/>
            </w:pPr>
            <w:r>
              <w:t xml:space="preserve">12 months</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Monthly Living &amp; Transportation Allowance within Thailand Bangkok</w:t>
            </w:r>
          </w:p>
        </w:tc>
        <w:tc>
          <w:tcPr/>
          <w:p>
            <w:pPr>
              <w:pStyle w:val="Compact"/>
              <w:jc w:val="left"/>
            </w:pPr>
            <w:r>
              <w:t xml:space="preserve">12 months</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Research &amp; Laboratory Access Stipend (materials, software licenses, printing)</w:t>
            </w:r>
          </w:p>
        </w:tc>
        <w:tc>
          <w:tcPr/>
          <w:p>
            <w:pPr>
              <w:pStyle w:val="Compact"/>
              <w:jc w:val="left"/>
            </w:pPr>
            <w:r>
              <w:t xml:space="preserve">12 months</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Comprehensive Health &amp; Medical Insurance (Thailand Bangkok coverage)</w:t>
            </w:r>
          </w:p>
        </w:tc>
        <w:tc>
          <w:tcPr/>
          <w:p>
            <w:pPr>
              <w:pStyle w:val="Compact"/>
              <w:jc w:val="left"/>
            </w:pPr>
            <w:r>
              <w:t xml:space="preserve">12 months</w:t>
            </w:r>
          </w:p>
        </w:tc>
        <w:tc>
          <w:tcPr/>
          <w:p>
            <w:pPr>
              <w:pStyle w:val="Compact"/>
              <w:jc w:val="left"/>
            </w:pPr>
            <w:r>
              <w:t xml:space="preserve">96,000</w:t>
            </w:r>
          </w:p>
        </w:tc>
      </w:tr>
      <w:tr>
        <w:tc>
          <w:tcPr/>
          <w:p>
            <w:pPr>
              <w:pStyle w:val="Compact"/>
              <w:jc w:val="left"/>
            </w:pPr>
            <w:r>
              <w:t xml:space="preserve">07</w:t>
            </w:r>
          </w:p>
        </w:tc>
        <w:tc>
          <w:tcPr/>
          <w:p>
            <w:pPr>
              <w:pStyle w:val="Compact"/>
              <w:jc w:val="left"/>
            </w:pPr>
            <w:r>
              <w:t xml:space="preserve">Visa Processing, Work Permit &amp; Immigration Fees (Thailand)</w:t>
            </w:r>
          </w:p>
        </w:tc>
        <w:tc>
          <w:tcPr/>
          <w:p>
            <w:pPr>
              <w:pStyle w:val="Compact"/>
              <w:jc w:val="left"/>
            </w:pPr>
            <w:r>
              <w:t xml:space="preserve">1 set</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Conference Participation &amp; Travel (2 events in Thailand Bangkok region)</w:t>
            </w:r>
          </w:p>
        </w:tc>
        <w:tc>
          <w:tcPr/>
          <w:p>
            <w:pPr>
              <w:pStyle w:val="Compact"/>
              <w:jc w:val="left"/>
            </w:pPr>
            <w:r>
              <w:t xml:space="preserve">2 events</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Onboarding, Orientation &amp; Administrative Support (first month)</w:t>
            </w:r>
          </w:p>
        </w:tc>
        <w:tc>
          <w:tcPr/>
          <w:p>
            <w:pPr>
              <w:pStyle w:val="Compact"/>
              <w:jc w:val="left"/>
            </w:pPr>
            <w:r>
              <w:t xml:space="preserve">1 time</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End-of-Contract Settlement &amp; Departure Assistance</w:t>
            </w:r>
          </w:p>
        </w:tc>
        <w:tc>
          <w:tcPr/>
          <w:p>
            <w:pPr>
              <w:pStyle w:val="Compact"/>
              <w:jc w:val="left"/>
            </w:pPr>
            <w:r>
              <w:t xml:space="preserve">1 time</w:t>
            </w:r>
          </w:p>
        </w:tc>
        <w:tc>
          <w:tcPr/>
          <w:p>
            <w:pPr>
              <w:pStyle w:val="Compact"/>
              <w:jc w:val="left"/>
            </w:pPr>
            <w:r>
              <w:t xml:space="preserve">28,000</w:t>
            </w:r>
          </w:p>
        </w:tc>
      </w:tr>
      <w:tr>
        <w:tc>
          <w:tcPr>
            <w:gridSpan w:val="3"/>
          </w:tcPr>
          <w:p>
            <w:pPr>
              <w:pStyle w:val="Compact"/>
              <w:jc w:val="left"/>
            </w:pPr>
            <w:r>
              <w:t xml:space="preserve">Subtotal (THB)</w:t>
            </w:r>
          </w:p>
        </w:tc>
        <w:tc>
          <w:tcPr/>
          <w:p>
            <w:pPr>
              <w:pStyle w:val="Compact"/>
              <w:jc w:val="left"/>
            </w:pPr>
            <w:r>
              <w:t xml:space="preserve">3,270,000</w:t>
            </w:r>
          </w:p>
        </w:tc>
      </w:tr>
      <w:tr>
        <w:tc>
          <w:tcPr>
            <w:gridSpan w:val="3"/>
          </w:tcPr>
          <w:p>
            <w:pPr>
              <w:pStyle w:val="Compact"/>
              <w:jc w:val="left"/>
            </w:pPr>
            <w:r>
              <w:t xml:space="preserve">VAT (7% – Thailand Revenue Code)</w:t>
            </w:r>
          </w:p>
        </w:tc>
        <w:tc>
          <w:tcPr/>
          <w:p>
            <w:pPr>
              <w:pStyle w:val="Compact"/>
              <w:jc w:val="left"/>
            </w:pPr>
            <w:r>
              <w:t xml:space="preserve">228,900</w:t>
            </w:r>
          </w:p>
        </w:tc>
      </w:tr>
      <w:tr>
        <w:tc>
          <w:tcPr>
            <w:gridSpan w:val="3"/>
          </w:tcPr>
          <w:p>
            <w:pPr>
              <w:pStyle w:val="Compact"/>
              <w:jc w:val="left"/>
            </w:pPr>
            <w:r>
              <w:rPr>
                <w:bCs/>
                <w:b/>
              </w:rPr>
              <w:t xml:space="preserve">TOTAL QUOTATION ESTIMATE (THB)</w:t>
            </w:r>
          </w:p>
        </w:tc>
        <w:tc>
          <w:tcPr/>
          <w:p>
            <w:pPr>
              <w:pStyle w:val="Compact"/>
              <w:jc w:val="left"/>
            </w:pPr>
            <w:r>
              <w:rPr>
                <w:bCs/>
                <w:b/>
              </w:rPr>
              <w:t xml:space="preserve">3,498,900</w:t>
            </w:r>
          </w:p>
        </w:tc>
      </w:tr>
    </w:tbl>
    <w:p>
      <w:pPr>
        <w:pStyle w:val="BodyText"/>
      </w:pPr>
      <w:r>
        <w:rPr>
          <w:iCs/>
          <w:i/>
        </w:rPr>
        <w:t xml:space="preserve">All amounts are quoted in Thai Baht (THB). The total</w:t>
      </w:r>
      <w:r>
        <w:rPr>
          <w:iCs/>
          <w:i/>
        </w:rPr>
        <w:t xml:space="preserve"> </w:t>
      </w:r>
      <w:r>
        <w:rPr>
          <w:iCs/>
          <w:i/>
        </w:rPr>
        <w:t xml:space="preserve">Quotation Estimate</w:t>
      </w:r>
      <w:r>
        <w:rPr>
          <w:iCs/>
          <w:i/>
        </w:rPr>
        <w:t xml:space="preserve"> </w:t>
      </w:r>
      <w:r>
        <w:rPr>
          <w:iCs/>
          <w:i/>
        </w:rPr>
        <w:t xml:space="preserve">of THB 3,498,900 is inclusive of all applicable taxes and levies as mandated by the Revenue Department of Thailand. No additional charges will be incurred beyond the scope described in this document unless a formal amendment is executed by both parties.</w:t>
      </w:r>
    </w:p>
    <w:bookmarkEnd w:id="22"/>
    <w:bookmarkStart w:id="23" w:name="payment-terms"/>
    <w:p>
      <w:pPr>
        <w:pStyle w:val="Heading2"/>
      </w:pPr>
      <w:r>
        <w:t xml:space="preserve">3. Payment Terms</w:t>
      </w:r>
    </w:p>
    <w:p>
      <w:pPr>
        <w:pStyle w:val="FirstParagraph"/>
      </w:pPr>
      <w:r>
        <w:t xml:space="preserve">Payment for the services outlined in this</w:t>
      </w:r>
      <w:r>
        <w:t xml:space="preserve"> </w:t>
      </w:r>
      <w:r>
        <w:t xml:space="preserve">Quotation Estimate</w:t>
      </w:r>
      <w:r>
        <w:t xml:space="preserve"> </w:t>
      </w:r>
      <w:r>
        <w:t xml:space="preserve">shall be made as follows:</w:t>
      </w:r>
    </w:p>
    <w:p>
      <w:pPr>
        <w:numPr>
          <w:ilvl w:val="0"/>
          <w:numId w:val="1002"/>
        </w:numPr>
        <w:pStyle w:val="Compact"/>
      </w:pPr>
      <w:r>
        <w:rPr>
          <w:bCs/>
          <w:b/>
        </w:rPr>
        <w:t xml:space="preserve">Advance Payment (30%):</w:t>
      </w:r>
      <w:r>
        <w:t xml:space="preserve"> </w:t>
      </w:r>
      <w:r>
        <w:t xml:space="preserve">THB 1,049,670 due within fourteen (14) calendar days of contract execution, prior to the</w:t>
      </w:r>
      <w:r>
        <w:t xml:space="preserve"> </w:t>
      </w:r>
      <w:r>
        <w:t xml:space="preserve">Professor</w:t>
      </w:r>
      <w:r>
        <w:t xml:space="preserve">'s arrival in</w:t>
      </w:r>
      <w:r>
        <w:t xml:space="preserve"> </w:t>
      </w:r>
      <w:r>
        <w:t xml:space="preserve">Thailand Bangkok</w:t>
      </w:r>
      <w:r>
        <w:t xml:space="preserve">.</w:t>
      </w:r>
    </w:p>
    <w:p>
      <w:pPr>
        <w:numPr>
          <w:ilvl w:val="0"/>
          <w:numId w:val="1002"/>
        </w:numPr>
        <w:pStyle w:val="Compact"/>
      </w:pPr>
      <w:r>
        <w:rPr>
          <w:bCs/>
          <w:b/>
        </w:rPr>
        <w:t xml:space="preserve">Monthly Installments (55%):</w:t>
      </w:r>
      <w:r>
        <w:t xml:space="preserve"> </w:t>
      </w:r>
      <w:r>
        <w:t xml:space="preserve">THB 1,924,395 disbursed in twelve equal monthly installments of THB 160,366, payable on the first business day of each month.</w:t>
      </w:r>
    </w:p>
    <w:p>
      <w:pPr>
        <w:numPr>
          <w:ilvl w:val="0"/>
          <w:numId w:val="1002"/>
        </w:numPr>
        <w:pStyle w:val="Compact"/>
      </w:pPr>
      <w:r>
        <w:rPr>
          <w:bCs/>
          <w:b/>
        </w:rPr>
        <w:t xml:space="preserve">Final Settlement (15%):</w:t>
      </w:r>
      <w:r>
        <w:t xml:space="preserve"> </w:t>
      </w:r>
      <w:r>
        <w:t xml:space="preserve">THB 524,835 payable within thirty (30) days of the</w:t>
      </w:r>
      <w:r>
        <w:t xml:space="preserve"> </w:t>
      </w:r>
      <w:r>
        <w:t xml:space="preserve">Professor</w:t>
      </w:r>
      <w:r>
        <w:t xml:space="preserve">'s final departure from</w:t>
      </w:r>
      <w:r>
        <w:t xml:space="preserve"> </w:t>
      </w:r>
      <w:r>
        <w:t xml:space="preserve">Thailand Bangkok</w:t>
      </w:r>
      <w:r>
        <w:t xml:space="preserve">, subject to satisfactory completion of all contractual obligations.</w:t>
      </w:r>
    </w:p>
    <w:bookmarkEnd w:id="23"/>
    <w:bookmarkStart w:id="24" w:name="terms-conditions"/>
    <w:p>
      <w:pPr>
        <w:pStyle w:val="Heading2"/>
      </w:pPr>
      <w:r>
        <w:t xml:space="preserve">4.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all rates and terms are subject to revision without prior notice.</w:t>
      </w:r>
    </w:p>
    <w:p>
      <w:pPr>
        <w:numPr>
          <w:ilvl w:val="0"/>
          <w:numId w:val="1003"/>
        </w:numPr>
        <w:pStyle w:val="Compact"/>
      </w:pPr>
      <w:r>
        <w:t xml:space="preserve">The</w:t>
      </w:r>
      <w:r>
        <w:t xml:space="preserve"> </w:t>
      </w:r>
      <w:r>
        <w:t xml:space="preserve">Professor</w:t>
      </w:r>
      <w:r>
        <w:t xml:space="preserve"> </w:t>
      </w:r>
      <w:r>
        <w:t xml:space="preserve">shall be subject to the academic regulations, code of conduct, and intellectual property policies of Chulalongkorn University,</w:t>
      </w:r>
      <w:r>
        <w:t xml:space="preserve"> </w:t>
      </w:r>
      <w:r>
        <w:t xml:space="preserve">Thailand Bangkok</w:t>
      </w:r>
      <w:r>
        <w:t xml:space="preserve">, for the duration of the engagement.</w:t>
      </w:r>
    </w:p>
    <w:p>
      <w:pPr>
        <w:numPr>
          <w:ilvl w:val="0"/>
          <w:numId w:val="1003"/>
        </w:numPr>
        <w:pStyle w:val="Compact"/>
      </w:pPr>
      <w:r>
        <w:t xml:space="preserve">Either party may terminate the engagement with a written notice of sixty (60) days. In such an event, a pro-rata adjustment to the</w:t>
      </w:r>
      <w:r>
        <w:t xml:space="preserve"> </w:t>
      </w:r>
      <w:r>
        <w:t xml:space="preserve">Quotation Estimate</w:t>
      </w:r>
      <w:r>
        <w:t xml:space="preserve"> </w:t>
      </w:r>
      <w:r>
        <w:t xml:space="preserve">total will be calculated and settled within thirty (30) days.</w:t>
      </w:r>
    </w:p>
    <w:p>
      <w:pPr>
        <w:numPr>
          <w:ilvl w:val="0"/>
          <w:numId w:val="1003"/>
        </w:numPr>
        <w:pStyle w:val="Compact"/>
      </w:pPr>
      <w:r>
        <w:t xml:space="preserve">All research outputs, publications, and intellectual property generated by the</w:t>
      </w:r>
      <w:r>
        <w:t xml:space="preserve"> </w:t>
      </w:r>
      <w:r>
        <w:t xml:space="preserve">Professor</w:t>
      </w:r>
      <w:r>
        <w:t xml:space="preserve"> </w:t>
      </w:r>
      <w:r>
        <w:t xml:space="preserve">during the engagement period in</w:t>
      </w:r>
      <w:r>
        <w:t xml:space="preserve"> </w:t>
      </w:r>
      <w:r>
        <w:t xml:space="preserve">Thailand Bangkok</w:t>
      </w:r>
      <w:r>
        <w:t xml:space="preserve"> </w:t>
      </w:r>
      <w:r>
        <w:t xml:space="preserve">shall be jointly owned by the</w:t>
      </w:r>
      <w:r>
        <w:t xml:space="preserve"> </w:t>
      </w:r>
      <w:r>
        <w:t xml:space="preserve">Professor</w:t>
      </w:r>
      <w:r>
        <w:t xml:space="preserve"> </w:t>
      </w:r>
      <w:r>
        <w:t xml:space="preserve">and the University, as stipulated in the separate Intellectual Property Addendum.</w:t>
      </w:r>
    </w:p>
    <w:p>
      <w:pPr>
        <w:numPr>
          <w:ilvl w:val="0"/>
          <w:numId w:val="1003"/>
        </w:numPr>
        <w:pStyle w:val="Compact"/>
      </w:pPr>
      <w:r>
        <w:t xml:space="preserve">The</w:t>
      </w:r>
      <w:r>
        <w:t xml:space="preserve"> </w:t>
      </w:r>
      <w:r>
        <w:t xml:space="preserve">Professor</w:t>
      </w:r>
      <w:r>
        <w:t xml:space="preserve"> </w:t>
      </w:r>
      <w:r>
        <w:t xml:space="preserve">is responsible for maintaining a valid Thai work permit and non-immigrant visa throughout the engagement period. Siam Academic Partners shall provide administrative support for all immigration-related procedures in</w:t>
      </w:r>
      <w:r>
        <w:t xml:space="preserve"> </w:t>
      </w:r>
      <w:r>
        <w:t xml:space="preserve">Thailand Bangkok</w:t>
      </w:r>
      <w:r>
        <w:t xml:space="preserve">.</w:t>
      </w:r>
    </w:p>
    <w:p>
      <w:pPr>
        <w:numPr>
          <w:ilvl w:val="0"/>
          <w:numId w:val="1003"/>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Bangkok, Thailand, in accordance with the rules of the Thai Arbitration Institute.</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in writing.</w:t>
      </w:r>
    </w:p>
    <w:bookmarkEnd w:id="24"/>
    <w:bookmarkStart w:id="25" w:name="acceptance-authorization"/>
    <w:p>
      <w:pPr>
        <w:pStyle w:val="Heading2"/>
      </w:pPr>
      <w:r>
        <w:t xml:space="preserve">5. Acceptance &amp; Authorization</w:t>
      </w:r>
    </w:p>
    <w:p>
      <w:pPr>
        <w:pStyle w:val="FirstParagraph"/>
      </w:pPr>
      <w:r>
        <w:t xml:space="preserve">By signing below, the undersigned parties acknowledge and accept the terms, conditions, and financial obligations set forth in this</w:t>
      </w:r>
      <w:r>
        <w:t xml:space="preserve"> </w:t>
      </w:r>
      <w:r>
        <w:t xml:space="preserve">Quotation Estimate</w:t>
      </w:r>
      <w:r>
        <w:t xml:space="preserve"> </w:t>
      </w:r>
      <w:r>
        <w:t xml:space="preserve">for the engagement of the</w:t>
      </w:r>
      <w:r>
        <w:t xml:space="preserve"> </w:t>
      </w:r>
      <w:r>
        <w:t xml:space="preserve">Professor</w:t>
      </w:r>
      <w:r>
        <w:t xml:space="preserve"> </w:t>
      </w:r>
      <w:r>
        <w:t xml:space="preserve">at the institution in</w:t>
      </w:r>
      <w:r>
        <w:t xml:space="preserve"> </w:t>
      </w:r>
      <w:r>
        <w:t xml:space="preserve">Thailand Bangkok</w:t>
      </w:r>
      <w:r>
        <w:t xml:space="preserve">.</w:t>
      </w:r>
    </w:p>
    <w:p>
      <w:pPr>
        <w:pStyle w:val="BodyText"/>
      </w:pPr>
      <w:r>
        <w:rPr>
          <w:bCs/>
          <w:b/>
        </w:rPr>
        <w:t xml:space="preserve">For Siam Academic Partners Co., Ltd.</w:t>
      </w:r>
      <w:r>
        <w:br/>
      </w:r>
      <w:r>
        <w:t xml:space="preserve">Name: ___________________________</w:t>
      </w:r>
      <w:r>
        <w:br/>
      </w:r>
      <w:r>
        <w:t xml:space="preserve">Title: Director of Academic Placements</w:t>
      </w:r>
      <w:r>
        <w:br/>
      </w:r>
      <w:r>
        <w:t xml:space="preserve">Date: ___________________________</w:t>
      </w:r>
    </w:p>
    <w:p>
      <w:pPr>
        <w:pStyle w:val="BodyText"/>
      </w:pPr>
      <w:r>
        <w:rPr>
          <w:bCs/>
          <w:b/>
        </w:rPr>
        <w:t xml:space="preserve">For Chulalongkorn University</w:t>
      </w:r>
      <w:r>
        <w:br/>
      </w:r>
      <w:r>
        <w:t xml:space="preserve">Name: ___________________________</w:t>
      </w:r>
      <w:r>
        <w:br/>
      </w:r>
      <w:r>
        <w:t xml:space="preserve">Title: Dean, Faculty of Engineering</w:t>
      </w:r>
      <w:r>
        <w:br/>
      </w:r>
      <w:r>
        <w:t xml:space="preserve">Date: ___________________________</w:t>
      </w:r>
    </w:p>
    <w:p>
      <w:pPr>
        <w:pStyle w:val="BodyText"/>
      </w:pPr>
      <w:r>
        <w:t xml:space="preserve">Quotation Estimate No. QTE-2025-BKK-0472 | Siam Academic Partners Co., Ltd. | Bangkok, Thailand</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Thailand Bangkok</dc:title>
  <dc:creator/>
  <dc:language>en</dc:language>
  <cp:keywords/>
  <dcterms:created xsi:type="dcterms:W3CDTF">2026-10-10T04:09:06Z</dcterms:created>
  <dcterms:modified xsi:type="dcterms:W3CDTF">2026-10-10T04:09:06Z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