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Academic Services — Professor Engagement Programme</w:t>
      </w:r>
    </w:p>
    <w:p>
      <w:pPr>
        <w:pStyle w:val="BodyText"/>
      </w:pPr>
      <w:r>
        <w:t xml:space="preserve">Bosphorus Academic Consulting Group • Istanbul, Turkey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QEST-IST-2025-0472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Marmara University — Faculty of Engineering Sciences, Istanbul, Turkey</w:t>
            </w:r>
          </w:p>
        </w:tc>
        <w:tc>
          <w:tcPr/>
          <w:p>
            <w:pPr>
              <w:pStyle w:val="Compact"/>
              <w:jc w:val="left"/>
            </w:pPr>
            <w:r>
              <w:t xml:space="preserve">Prepared By</w:t>
            </w:r>
          </w:p>
        </w:tc>
        <w:tc>
          <w:tcPr/>
          <w:p>
            <w:pPr>
              <w:pStyle w:val="Compact"/>
              <w:jc w:val="left"/>
            </w:pPr>
            <w:r>
              <w:t xml:space="preserve">Dr. Elif Kaya, Senior Account Manager</w:t>
            </w:r>
          </w:p>
        </w:tc>
      </w:tr>
      <w:tr>
        <w:tc>
          <w:tcPr/>
          <w:p>
            <w:pPr>
              <w:pStyle w:val="Compact"/>
              <w:jc w:val="left"/>
            </w:pPr>
            <w:r>
              <w:t xml:space="preserve">Subject</w:t>
            </w:r>
          </w:p>
        </w:tc>
        <w:tc>
          <w:tcPr>
            <w:gridSpan w:val="3"/>
          </w:tcPr>
          <w:p>
            <w:pPr>
              <w:pStyle w:val="Compact"/>
              <w:jc w:val="left"/>
            </w:pPr>
            <w:r>
              <w:t xml:space="preserve">Quotation Estimate for the Engagement of a Distinguished Professor in Advanced Computational Engineering — Academic Year 2025/2026, Turkey Istanbul Campus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Bosphorus Academic Consulting Group to provide a comprehensive financial breakdown for the recruitment, engagement, and full professional support of a senior</w:t>
      </w:r>
      <w:r>
        <w:t xml:space="preserve"> </w:t>
      </w:r>
      <w:r>
        <w:t xml:space="preserve">Professor</w:t>
      </w:r>
      <w:r>
        <w:t xml:space="preserve"> </w:t>
      </w:r>
      <w:r>
        <w:t xml:space="preserve">to deliver a twelve-month academic programme at the Marmara University campus located in</w:t>
      </w:r>
      <w:r>
        <w:t xml:space="preserve"> </w:t>
      </w:r>
      <w:r>
        <w:t xml:space="preserve">Turkey Istanbul</w:t>
      </w:r>
      <w:r>
        <w:t xml:space="preserve">. The Professor will be responsible for teaching, supervising doctoral research, and leading a collaborative research initiative in the field of Advanced Computational Engineering. All costs, deliverables, and contractual obligations outlined in this Quotation Estimate are specific to the Turkey Istanbul operational context and comply with the regulations of the Turkish Ministry of National Education and the relevant municipal authorities of Istanbul.</w:t>
      </w:r>
    </w:p>
    <w:bookmarkEnd w:id="21"/>
    <w:bookmarkStart w:id="22" w:name="scope-of-services-professor-engagement"/>
    <w:p>
      <w:pPr>
        <w:pStyle w:val="Heading2"/>
      </w:pPr>
      <w:r>
        <w:t xml:space="preserve">2. Scope of Services — Professor Engagement</w:t>
      </w:r>
    </w:p>
    <w:p>
      <w:pPr>
        <w:pStyle w:val="FirstParagraph"/>
      </w:pPr>
      <w:r>
        <w:t xml:space="preserve">The Professor engaged under this Quotation Estimate shall perform the following duties during the academic year 2025/2026 at the Turkey Istanbul campus:</w:t>
      </w:r>
    </w:p>
    <w:p>
      <w:pPr>
        <w:numPr>
          <w:ilvl w:val="0"/>
          <w:numId w:val="1001"/>
        </w:numPr>
        <w:pStyle w:val="Compact"/>
      </w:pPr>
      <w:r>
        <w:t xml:space="preserve">Delivery of two (2) graduate-level courses (18 contact hours per week) in Advanced Computational Engineering and Numerical Simulation Methods.</w:t>
      </w:r>
    </w:p>
    <w:p>
      <w:pPr>
        <w:numPr>
          <w:ilvl w:val="0"/>
          <w:numId w:val="1001"/>
        </w:numPr>
        <w:pStyle w:val="Compact"/>
      </w:pPr>
      <w:r>
        <w:t xml:space="preserve">Supervision of a minimum of four (4) doctoral candidates, including weekly one-on-one academic meetings.</w:t>
      </w:r>
    </w:p>
    <w:p>
      <w:pPr>
        <w:numPr>
          <w:ilvl w:val="0"/>
          <w:numId w:val="1001"/>
        </w:numPr>
        <w:pStyle w:val="Compact"/>
      </w:pPr>
      <w:r>
        <w:t xml:space="preserve">Leadership of a joint research project with the Istanbul Technical University (ITU) in the domain of finite element analysis and machine learning integration.</w:t>
      </w:r>
    </w:p>
    <w:p>
      <w:pPr>
        <w:numPr>
          <w:ilvl w:val="0"/>
          <w:numId w:val="1001"/>
        </w:numPr>
        <w:pStyle w:val="Compact"/>
      </w:pPr>
      <w:r>
        <w:t xml:space="preserve">Participation in at least three (3) international academic conferences hosted in Turkey Istanbul during the engagement period.</w:t>
      </w:r>
    </w:p>
    <w:p>
      <w:pPr>
        <w:numPr>
          <w:ilvl w:val="0"/>
          <w:numId w:val="1001"/>
        </w:numPr>
        <w:pStyle w:val="Compact"/>
      </w:pPr>
      <w:r>
        <w:t xml:space="preserve">Mentoring of two (2) junior faculty members as part of the university's professional development initiative.</w:t>
      </w:r>
    </w:p>
    <w:p>
      <w:pPr>
        <w:numPr>
          <w:ilvl w:val="0"/>
          <w:numId w:val="1001"/>
        </w:numPr>
        <w:pStyle w:val="Compact"/>
      </w:pPr>
      <w:r>
        <w:t xml:space="preserve">Preparation and submission of a minimum of two (2) peer-reviewed research publications in internationally indexed journals.</w:t>
      </w:r>
    </w:p>
    <w:bookmarkEnd w:id="22"/>
    <w:bookmarkStart w:id="23" w:name="itemized-cost-breakdown"/>
    <w:p>
      <w:pPr>
        <w:pStyle w:val="Heading2"/>
      </w:pPr>
      <w:r>
        <w:t xml:space="preserve">3. Itemized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Professor's monthly academic salary (gross, pre-tax)</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Annual research grant for the ITU joint project (materials, software licences, computing resources)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Residential accommodation in the Beşiktaş district, Turkey Istanbul (fully furnished, 2-bedroom apartment, 12 months)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International airfare (round-trip, business class) and initial relocation logistics to Turkey Istanbul</w:t>
            </w:r>
          </w:p>
        </w:tc>
        <w:tc>
          <w:tcPr/>
          <w:p>
            <w:pPr>
              <w:pStyle w:val="Compact"/>
              <w:jc w:val="left"/>
            </w:pPr>
            <w:r>
              <w:t xml:space="preserve">1 trip</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Comprehensive health and life insurance coverage (Turkish private insurer, Istanbul network)</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Conference travel and registration fees (3 conferences in Turkey Istanbul and 1 abroad)</w:t>
            </w:r>
          </w:p>
        </w:tc>
        <w:tc>
          <w:tcPr/>
          <w:p>
            <w:pPr>
              <w:pStyle w:val="Compact"/>
              <w:jc w:val="left"/>
            </w:pPr>
            <w:r>
              <w:t xml:space="preserve">4 events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Per event</w:t>
            </w:r>
          </w:p>
        </w:tc>
      </w:tr>
      <w:tr>
        <w:tc>
          <w:tcPr/>
          <w:p>
            <w:pPr>
              <w:pStyle w:val="Compact"/>
              <w:jc w:val="left"/>
            </w:pPr>
            <w:r>
              <w:t xml:space="preserve">7</w:t>
            </w:r>
          </w:p>
        </w:tc>
        <w:tc>
          <w:tcPr/>
          <w:p>
            <w:pPr>
              <w:pStyle w:val="Compact"/>
              <w:jc w:val="left"/>
            </w:pPr>
            <w:r>
              <w:t xml:space="preserve">Doctoral student supervision stipend (4 students × 12 months)</w:t>
            </w:r>
          </w:p>
        </w:tc>
        <w:tc>
          <w:tcPr/>
          <w:p>
            <w:pPr>
              <w:pStyle w:val="Compact"/>
              <w:jc w:val="left"/>
            </w:pPr>
            <w:r>
              <w:t xml:space="preserve">48 months</w:t>
            </w:r>
          </w:p>
        </w:tc>
        <w:tc>
          <w:tcPr/>
          <w:p>
            <w:pPr>
              <w:pStyle w:val="Compact"/>
              <w:jc w:val="left"/>
            </w:pPr>
            <w:r>
              <w:t xml:space="preserve">$350.00</w:t>
            </w:r>
          </w:p>
        </w:tc>
        <w:tc>
          <w:tcPr/>
          <w:p>
            <w:pPr>
              <w:pStyle w:val="Compact"/>
              <w:jc w:val="left"/>
            </w:pPr>
            <w:r>
              <w:t xml:space="preserve">$16,800.00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Administrative and visa processing fees (Turkish work permit, residence permit, tax registration in Istanbul)</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Office space, laboratory access, and dedicated research assistant (part-time, 20 hrs/week)</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Monthly</w:t>
            </w:r>
          </w:p>
        </w:tc>
      </w:tr>
      <w:tr>
        <w:tc>
          <w:tcPr/>
          <w:p>
            <w:pPr>
              <w:pStyle w:val="Compact"/>
              <w:jc w:val="left"/>
            </w:pPr>
            <w:r>
              <w:t xml:space="preserve">10</w:t>
            </w:r>
          </w:p>
        </w:tc>
        <w:tc>
          <w:tcPr/>
          <w:p>
            <w:pPr>
              <w:pStyle w:val="Compact"/>
              <w:jc w:val="left"/>
            </w:pPr>
            <w:r>
              <w:t xml:space="preserve">End-of-contract performance bonus (contingent on meeting all KPIs outlined in Section 2)</w:t>
            </w:r>
          </w:p>
        </w:tc>
        <w:tc>
          <w:tcPr/>
          <w:p>
            <w:pPr>
              <w:pStyle w:val="Compact"/>
              <w:jc w:val="left"/>
            </w:pPr>
            <w:r>
              <w:t xml:space="preserve">1 payment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r>
        <w:tc>
          <w:tcPr>
            <w:gridSpan w:val="4"/>
          </w:tcPr>
          <w:p>
            <w:pPr>
              <w:pStyle w:val="Compact"/>
              <w:jc w:val="right"/>
            </w:pPr>
            <w:r>
              <w:t xml:space="preserve">Subtotal (USD)</w:t>
            </w:r>
          </w:p>
        </w:tc>
        <w:tc>
          <w:tcPr/>
          <w:p>
            <w:pPr>
              <w:pStyle w:val="Compact"/>
              <w:jc w:val="left"/>
            </w:pPr>
            <w:r>
              <w:t xml:space="preserve">$306,000.00</w:t>
            </w:r>
          </w:p>
        </w:tc>
        <w:tc>
          <w:tcPr/>
          <w:p>
            <w:pPr>
              <w:pStyle w:val="Compact"/>
            </w:pPr>
          </w:p>
        </w:tc>
      </w:tr>
      <w:tr>
        <w:tc>
          <w:tcPr>
            <w:gridSpan w:val="4"/>
          </w:tcPr>
          <w:p>
            <w:pPr>
              <w:pStyle w:val="Compact"/>
              <w:jc w:val="right"/>
            </w:pPr>
            <w:r>
              <w:t xml:space="preserve">Applicable Turkish VAT (KDV) — 20%</w:t>
            </w:r>
          </w:p>
        </w:tc>
        <w:tc>
          <w:tcPr/>
          <w:p>
            <w:pPr>
              <w:pStyle w:val="Compact"/>
              <w:jc w:val="left"/>
            </w:pPr>
            <w:r>
              <w:t xml:space="preserve">$61,200.00</w:t>
            </w:r>
          </w:p>
        </w:tc>
        <w:tc>
          <w:tcPr/>
          <w:p>
            <w:pPr>
              <w:pStyle w:val="Compact"/>
            </w:pPr>
          </w:p>
        </w:tc>
      </w:tr>
      <w:tr>
        <w:tc>
          <w:tcPr>
            <w:gridSpan w:val="4"/>
          </w:tcPr>
          <w:p>
            <w:pPr>
              <w:pStyle w:val="Compact"/>
              <w:jc w:val="right"/>
            </w:pPr>
            <w:r>
              <w:t xml:space="preserve">TOTAL QUOTATION ESTIMATE AMOUNT (USD)</w:t>
            </w:r>
          </w:p>
        </w:tc>
        <w:tc>
          <w:tcPr/>
          <w:p>
            <w:pPr>
              <w:pStyle w:val="Compact"/>
              <w:jc w:val="left"/>
            </w:pPr>
            <w:r>
              <w:t xml:space="preserve">$367,200.00</w:t>
            </w:r>
          </w:p>
        </w:tc>
        <w:tc>
          <w:tcPr/>
          <w:p>
            <w:pPr>
              <w:pStyle w:val="Compact"/>
            </w:pPr>
          </w:p>
        </w:tc>
      </w:tr>
    </w:tbl>
    <w:p>
      <w:pPr>
        <w:pStyle w:val="BodyText"/>
      </w:pPr>
      <w:r>
        <w:rPr>
          <w:bCs/>
          <w:b/>
        </w:rPr>
        <w:t xml:space="preserve">Note:</w:t>
      </w:r>
      <w:r>
        <w:t xml:space="preserve"> </w:t>
      </w:r>
      <w:r>
        <w:t xml:space="preserve">All monetary figures in this Quotation Estimate are quoted in United States Dollars (USD). The final invoice issued in Turkey Istanbul shall be converted at the Central Bank of the Republic of Turkey (TCMB) reference exchange rate on the date of invoicing. Turkish withholding tax (stopaj vergisi) applicable to the Professor's salary shall be deducted at source in accordance with the Turkey-Turkey double taxation treaty provisions, where applicable.</w:t>
      </w:r>
    </w:p>
    <w:bookmarkEnd w:id="23"/>
    <w:bookmarkStart w:id="24" w:name="payment-schedule"/>
    <w:p>
      <w:pPr>
        <w:pStyle w:val="Heading2"/>
      </w:pPr>
      <w:r>
        <w:t xml:space="preserve">4. Payment Schedule</w:t>
      </w:r>
    </w:p>
    <w:p>
      <w:pPr>
        <w:pStyle w:val="FirstParagraph"/>
      </w:pPr>
      <w:r>
        <w:t xml:space="preserve">The total Quotation Estimate amount of</w:t>
      </w:r>
      <w:r>
        <w:t xml:space="preserve"> </w:t>
      </w:r>
      <w:r>
        <w:rPr>
          <w:bCs/>
          <w:b/>
        </w:rPr>
        <w:t xml:space="preserve">$367,200.00 USD</w:t>
      </w:r>
      <w:r>
        <w:t xml:space="preserve"> </w:t>
      </w:r>
      <w:r>
        <w:t xml:space="preserve">shall be disbursed according to the following schedule:</w:t>
      </w:r>
    </w:p>
    <w:p>
      <w:pPr>
        <w:numPr>
          <w:ilvl w:val="0"/>
          <w:numId w:val="1002"/>
        </w:numPr>
        <w:pStyle w:val="Compact"/>
      </w:pPr>
      <w:r>
        <w:rPr>
          <w:bCs/>
          <w:b/>
        </w:rPr>
        <w:t xml:space="preserve">Advance Payment (30%):</w:t>
      </w:r>
      <w:r>
        <w:t xml:space="preserve"> </w:t>
      </w:r>
      <w:r>
        <w:t xml:space="preserve">$110,160.00 — Due within 15 business days of mutual acceptance of this Quotation Estimate and execution of the formal Professor engagement contract in Turkey Istanbul.</w:t>
      </w:r>
    </w:p>
    <w:p>
      <w:pPr>
        <w:numPr>
          <w:ilvl w:val="0"/>
          <w:numId w:val="1002"/>
        </w:numPr>
        <w:pStyle w:val="Compact"/>
      </w:pPr>
      <w:r>
        <w:rPr>
          <w:bCs/>
          <w:b/>
        </w:rPr>
        <w:t xml:space="preserve">Quarterly Installments (50%):</w:t>
      </w:r>
      <w:r>
        <w:t xml:space="preserve"> </w:t>
      </w:r>
      <w:r>
        <w:t xml:space="preserve">$45,900.00 per quarter — Payable at the beginning of each academic quarter (September, December, March, June).</w:t>
      </w:r>
    </w:p>
    <w:p>
      <w:pPr>
        <w:numPr>
          <w:ilvl w:val="0"/>
          <w:numId w:val="1002"/>
        </w:numPr>
        <w:pStyle w:val="Compact"/>
      </w:pPr>
      <w:r>
        <w:rPr>
          <w:bCs/>
          <w:b/>
        </w:rPr>
        <w:t xml:space="preserve">Final Settlement (20%):</w:t>
      </w:r>
      <w:r>
        <w:t xml:space="preserve"> </w:t>
      </w:r>
      <w:r>
        <w:t xml:space="preserve">$73,440.00 — Payable within 30 days of the Professor's completion of all contractual obligations and submission of the final research report, subject to satisfactory KPI evaluation by the Marmara University Faculty Board.</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and conditions are subject to revision by Bosphorus Academic Consulting Group.</w:t>
      </w:r>
    </w:p>
    <w:p>
      <w:pPr>
        <w:numPr>
          <w:ilvl w:val="0"/>
          <w:numId w:val="1003"/>
        </w:numPr>
        <w:pStyle w:val="Compact"/>
      </w:pPr>
      <w:r>
        <w:t xml:space="preserve">The Professor's engagement is strictly limited to the Turkey Istanbul campus. Any travel to other Turkish cities or international locations for academic purposes must be pre-approved in writing by the Faculty Dean's Office.</w:t>
      </w:r>
    </w:p>
    <w:p>
      <w:pPr>
        <w:numPr>
          <w:ilvl w:val="0"/>
          <w:numId w:val="1003"/>
        </w:numPr>
        <w:pStyle w:val="Compact"/>
      </w:pPr>
      <w:r>
        <w:t xml:space="preserve">All intellectual property generated by the Professor during the engagement period, including research outputs, software, and publications, shall be jointly owned by the Professor and Marmara University, as stipulated in the formal contract. The Quotation Estimate does not override these IP provisions.</w:t>
      </w:r>
    </w:p>
    <w:p>
      <w:pPr>
        <w:numPr>
          <w:ilvl w:val="0"/>
          <w:numId w:val="1003"/>
        </w:numPr>
        <w:pStyle w:val="Compact"/>
      </w:pPr>
      <w:r>
        <w:t xml:space="preserve">Termination by either party requires a minimum of sixty (60) days' written notice. In the event of early termination, a pro-rata adjustment to the remaining Quotation Estimate balance shall be calculated and settled within 30 days.</w:t>
      </w:r>
    </w:p>
    <w:p>
      <w:pPr>
        <w:numPr>
          <w:ilvl w:val="0"/>
          <w:numId w:val="1003"/>
        </w:numPr>
        <w:pStyle w:val="Compact"/>
      </w:pPr>
      <w:r>
        <w:t xml:space="preserve">The Professor is required to comply with all Turkish labour laws, immigration regulations, and the specific academic conduct policies of Marmara University in Turkey Istanbul.</w:t>
      </w:r>
    </w:p>
    <w:p>
      <w:pPr>
        <w:numPr>
          <w:ilvl w:val="0"/>
          <w:numId w:val="1003"/>
        </w:numPr>
        <w:pStyle w:val="Compact"/>
      </w:pPr>
      <w:r>
        <w:t xml:space="preserve">Any changes to the scope of services outlined in Section 2 must be documented in a formal amendment to this Quotation Estimate, signed by both parties, before implementation.</w:t>
      </w:r>
    </w:p>
    <w:p>
      <w:pPr>
        <w:numPr>
          <w:ilvl w:val="0"/>
          <w:numId w:val="1003"/>
        </w:numPr>
        <w:pStyle w:val="Compact"/>
      </w:pPr>
      <w:r>
        <w:t xml:space="preserve">Disputes arising from this Quotation Estimate or the subsequent contract shall be resolved through arbitration in Istanbul, Turkey, in accordance with the rules of the Istanbul Arbitration Centre (ISTAC).</w:t>
      </w:r>
    </w:p>
    <w:p>
      <w:pPr>
        <w:numPr>
          <w:ilvl w:val="0"/>
          <w:numId w:val="1003"/>
        </w:numPr>
        <w:pStyle w:val="Compact"/>
      </w:pPr>
      <w:r>
        <w:t xml:space="preserve">This Quotation Estimate does not constitute a binding contract until it is countersigned by both parties and the formal Professor engagement agreement is executed in the presence of a notary public in Turkey Istanbul.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financial figures set forth in this Quotation Estimate for the Professor engagement in Turkey Istanbul.</w:t>
      </w:r>
    </w:p>
    <w:p>
      <w:pPr>
        <w:pStyle w:val="BodyText"/>
      </w:pPr>
      <w:r>
        <w:rPr>
          <w:bCs/>
          <w:b/>
        </w:rPr>
        <w:t xml:space="preserve">For Bosphorus Academic Consulting Group</w:t>
      </w:r>
    </w:p>
    <w:p>
      <w:pPr>
        <w:pStyle w:val="BodyText"/>
      </w:pPr>
      <w:r>
        <w:t xml:space="preserve">Dr. Elif Kaya — Senior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Marmara University — Faculty of Engineering Sciences</w:t>
      </w:r>
    </w:p>
    <w:p>
      <w:pPr>
        <w:pStyle w:val="BodyText"/>
      </w:pPr>
      <w:r>
        <w:t xml:space="preserve">Prof. Dr. Ahmet Yılmaz — Dean</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t xml:space="preserve">Bosphorus Academic Consulting Group • Kuzguncuk Mah. Kuzguncuk Cad. No. 42, 34676 Üsküdar / Istanbul, Turkey</w:t>
      </w:r>
      <w:r>
        <w:br/>
      </w:r>
      <w:r>
        <w:t xml:space="preserve">Tel: +90 216 555 0142 • Email: quotations@bosphorusacademic.com.tr • Tax ID (VKN): 1234567890</w:t>
      </w:r>
      <w:r>
        <w:br/>
      </w:r>
      <w:r>
        <w:t xml:space="preserve">This Quotation Estimate document is generated electronically and is valid without a physical signature when accompanied by a verified digital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Turkey Istanbul</dc:title>
  <dc:creator/>
  <dc:language>en</dc:language>
  <cp:keywords/>
  <dcterms:created xsi:type="dcterms:W3CDTF">2026-10-10T04:00:23Z</dcterms:created>
  <dcterms:modified xsi:type="dcterms:W3CDTF">2026-10-10T04:00:23Z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