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Academic Engagement — United Arab Emirates, Abu Dhabi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QTE-ADH-2025-04782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By</w:t>
            </w:r>
          </w:p>
        </w:tc>
        <w:tc>
          <w:tcPr/>
          <w:p>
            <w:pPr>
              <w:pStyle w:val="Compact"/>
              <w:jc w:val="left"/>
            </w:pPr>
            <w:r>
              <w:t xml:space="preserve">Dr. Khalid Al Mansoori, Director of Academic Affairs, Al Noor Educational Services LLC, Abu Dhabi, United Arab Emirates</w:t>
            </w:r>
          </w:p>
        </w:tc>
      </w:tr>
      <w:tr>
        <w:tc>
          <w:tcPr/>
          <w:p>
            <w:pPr>
              <w:pStyle w:val="Compact"/>
              <w:jc w:val="left"/>
            </w:pPr>
            <w:r>
              <w:t xml:space="preserve">Prepared For</w:t>
            </w:r>
          </w:p>
        </w:tc>
        <w:tc>
          <w:tcPr/>
          <w:p>
            <w:pPr>
              <w:pStyle w:val="Compact"/>
              <w:jc w:val="left"/>
            </w:pPr>
            <w:r>
              <w:t xml:space="preserve">Professor Sarah Mitchell, PhD, Department of Applied Sciences, Federal University of Abu Dhabi, United Arab Emirates</w:t>
            </w:r>
          </w:p>
        </w:tc>
      </w:tr>
      <w:tr>
        <w:tc>
          <w:tcPr/>
          <w:p>
            <w:pPr>
              <w:pStyle w:val="Compact"/>
              <w:jc w:val="left"/>
            </w:pPr>
            <w:r>
              <w:t xml:space="preserve">Location of Engagement</w:t>
            </w:r>
          </w:p>
        </w:tc>
        <w:tc>
          <w:tcPr/>
          <w:p>
            <w:pPr>
              <w:pStyle w:val="Compact"/>
              <w:jc w:val="left"/>
            </w:pPr>
            <w:r>
              <w:t xml:space="preserve">Abu Dhabi, United Arab Emirates (UAE)</w:t>
            </w:r>
          </w:p>
        </w:tc>
      </w:tr>
      <w:tr>
        <w:tc>
          <w:tcPr/>
          <w:p>
            <w:pPr>
              <w:pStyle w:val="Compact"/>
              <w:jc w:val="left"/>
            </w:pPr>
            <w:r>
              <w:t xml:space="preserve">Currency</w:t>
            </w:r>
          </w:p>
        </w:tc>
        <w:tc>
          <w:tcPr/>
          <w:p>
            <w:pPr>
              <w:pStyle w:val="Compact"/>
              <w:jc w:val="left"/>
            </w:pPr>
            <w:r>
              <w:t xml:space="preserve">United Arab Emirates Dirham (AED)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 Noor Educational Services LLC, a registered entity in the United Arab Emirates, to provide a comprehensive and itemized financial breakdown for the professional engagement of</w:t>
      </w:r>
      <w:r>
        <w:t xml:space="preserve"> </w:t>
      </w:r>
      <w:r>
        <w:t xml:space="preserve">Professor</w:t>
      </w:r>
      <w:r>
        <w:t xml:space="preserve"> </w:t>
      </w:r>
      <w:r>
        <w:t xml:space="preserve">Sarah Mitchell, PhD, in the capacity of a Senior Visiting Academic and Research Supervisor. This</w:t>
      </w:r>
      <w:r>
        <w:t xml:space="preserve"> </w:t>
      </w:r>
      <w:r>
        <w:t xml:space="preserve">Quotation Estimate</w:t>
      </w:r>
      <w:r>
        <w:t xml:space="preserve"> </w:t>
      </w:r>
      <w:r>
        <w:t xml:space="preserve">covers all costs associated with the</w:t>
      </w:r>
      <w:r>
        <w:t xml:space="preserve"> </w:t>
      </w:r>
      <w:r>
        <w:t xml:space="preserve">Professor</w:t>
      </w:r>
      <w:r>
        <w:t xml:space="preserve">'s deployment, accommodation, travel, and professional services within the emirate of</w:t>
      </w:r>
      <w:r>
        <w:t xml:space="preserve"> </w:t>
      </w:r>
      <w:r>
        <w:t xml:space="preserve">Abu Dhabi, United Arab Emirates</w:t>
      </w:r>
      <w:r>
        <w:t xml:space="preserve">, for the academic and research period spanning September 2025 through June 2026.</w:t>
      </w:r>
    </w:p>
    <w:bookmarkEnd w:id="21"/>
    <w:bookmarkStart w:id="22" w:name="scope-of-work-professor-engagement"/>
    <w:p>
      <w:pPr>
        <w:pStyle w:val="Heading2"/>
      </w:pPr>
      <w:r>
        <w:t xml:space="preserve">2. Scope of Work — Professor Engagement</w:t>
      </w:r>
    </w:p>
    <w:p>
      <w:pPr>
        <w:pStyle w:val="FirstParagraph"/>
      </w:pPr>
      <w:r>
        <w:t xml:space="preserve">The following scope defines the professional obligations and deliverables expected of the</w:t>
      </w:r>
      <w:r>
        <w:t xml:space="preserve"> </w:t>
      </w:r>
      <w:r>
        <w:t xml:space="preserve">Professor</w:t>
      </w:r>
      <w:r>
        <w:t xml:space="preserve"> </w:t>
      </w:r>
      <w:r>
        <w:t xml:space="preserve">during the engagement period in</w:t>
      </w:r>
      <w:r>
        <w:t xml:space="preserve"> </w:t>
      </w:r>
      <w:r>
        <w:t xml:space="preserve">Abu Dhabi, United Arab Emirates</w:t>
      </w:r>
      <w:r>
        <w:t xml:space="preserve">:</w:t>
      </w:r>
    </w:p>
    <w:p>
      <w:pPr>
        <w:numPr>
          <w:ilvl w:val="0"/>
          <w:numId w:val="1001"/>
        </w:numPr>
        <w:pStyle w:val="Compact"/>
      </w:pPr>
      <w:r>
        <w:t xml:space="preserve">Delivery of a minimum of 120 contact hours of advanced graduate-level instruction in the field of Applied Computational Sciences at the Federal University of Abu Dhabi, United Arab Emirates.</w:t>
      </w:r>
    </w:p>
    <w:p>
      <w:pPr>
        <w:numPr>
          <w:ilvl w:val="0"/>
          <w:numId w:val="1001"/>
        </w:numPr>
        <w:pStyle w:val="Compact"/>
      </w:pPr>
      <w:r>
        <w:t xml:space="preserve">Supervision of no fewer than eight (8) PhD doctoral candidates, including weekly one-on-one academic mentoring sessions conducted on the university campus in Abu Dhabi.</w:t>
      </w:r>
    </w:p>
    <w:p>
      <w:pPr>
        <w:numPr>
          <w:ilvl w:val="0"/>
          <w:numId w:val="1001"/>
        </w:numPr>
        <w:pStyle w:val="Compact"/>
      </w:pPr>
      <w:r>
        <w:t xml:space="preserve">Co-authorship and peer review of a minimum of three (3) research publications in internationally indexed journals, with the</w:t>
      </w:r>
      <w:r>
        <w:t xml:space="preserve"> </w:t>
      </w:r>
      <w:r>
        <w:t xml:space="preserve">Professor</w:t>
      </w:r>
      <w:r>
        <w:t xml:space="preserve"> </w:t>
      </w:r>
      <w:r>
        <w:t xml:space="preserve">serving as corresponding author for at least one publication.</w:t>
      </w:r>
    </w:p>
    <w:p>
      <w:pPr>
        <w:numPr>
          <w:ilvl w:val="0"/>
          <w:numId w:val="1001"/>
        </w:numPr>
        <w:pStyle w:val="Compact"/>
      </w:pPr>
      <w:r>
        <w:t xml:space="preserve">Participation in the design and implementation of a new interdisciplinary research lab in Abu Dhabi, United Arab Emirates, including equipment procurement consultation and curriculum development.</w:t>
      </w:r>
    </w:p>
    <w:p>
      <w:pPr>
        <w:numPr>
          <w:ilvl w:val="0"/>
          <w:numId w:val="1001"/>
        </w:numPr>
        <w:pStyle w:val="Compact"/>
      </w:pPr>
      <w:r>
        <w:t xml:space="preserve">Delivery of two (2) public keynote lectures at the Abu Dhabi International Academic Conference, to be held at the Emirates Exhibition Centre, Abu Dhabi, UAE.</w:t>
      </w:r>
    </w:p>
    <w:p>
      <w:pPr>
        <w:numPr>
          <w:ilvl w:val="0"/>
          <w:numId w:val="1001"/>
        </w:numPr>
        <w:pStyle w:val="Compact"/>
      </w:pPr>
      <w:r>
        <w:t xml:space="preserve">Monthly progress reporting to the Dean of the College of Science, Federal University of Abu Dhabi, United Arab Emirates.</w:t>
      </w:r>
    </w:p>
    <w:p>
      <w:pPr>
        <w:numPr>
          <w:ilvl w:val="0"/>
          <w:numId w:val="1001"/>
        </w:numPr>
        <w:pStyle w:val="Compact"/>
      </w:pPr>
      <w:r>
        <w:t xml:space="preserve">Compliance with all academic regulations, visa conditions, and professional conduct standards mandated by the UAE Ministry of Education and the Abu Dhabi Department of Education and Knowledge.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Professor's monthly professional honorarium (Senior Visiting Academic, Abu Dhabi, UAE)</w:t>
            </w:r>
          </w:p>
        </w:tc>
        <w:tc>
          <w:tcPr/>
          <w:p>
            <w:pPr>
              <w:pStyle w:val="Compact"/>
              <w:jc w:val="left"/>
            </w:pPr>
            <w:r>
              <w:t xml:space="preserve">10 months</w:t>
            </w:r>
          </w:p>
        </w:tc>
        <w:tc>
          <w:tcPr/>
          <w:p>
            <w:pPr>
              <w:pStyle w:val="Compact"/>
              <w:jc w:val="left"/>
            </w:pPr>
            <w:r>
              <w:t xml:space="preserve">85,000.00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Round-trip international airfare (First Class, London to Abu Dhabi International Airport, UAE)</w:t>
            </w:r>
          </w:p>
        </w:tc>
        <w:tc>
          <w:tcPr/>
          <w:p>
            <w:pPr>
              <w:pStyle w:val="Compact"/>
              <w:jc w:val="left"/>
            </w:pPr>
            <w:r>
              <w:t xml:space="preserve">2 trips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Executive accommodation (4-bedroom villa, Al Reem Island, Abu Dhabi, United Arab Emirates)</w:t>
            </w:r>
          </w:p>
        </w:tc>
        <w:tc>
          <w:tcPr/>
          <w:p>
            <w:pPr>
              <w:pStyle w:val="Compact"/>
              <w:jc w:val="left"/>
            </w:pPr>
            <w:r>
              <w:t xml:space="preserve">10 months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UAE residence visa processing, medical fitness examination, and Emirates ID for the Professor</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Private vehicle with professional driver (Abu Dhabi, United Arab Emirates)</w:t>
            </w:r>
          </w:p>
        </w:tc>
        <w:tc>
          <w:tcPr/>
          <w:p>
            <w:pPr>
              <w:pStyle w:val="Compact"/>
              <w:jc w:val="left"/>
            </w:pPr>
            <w:r>
              <w:t xml:space="preserve">10 months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Research laboratory access fees and consumable materials (Federal University of Abu Dhabi, UAE)</w:t>
            </w:r>
          </w:p>
        </w:tc>
        <w:tc>
          <w:tcPr/>
          <w:p>
            <w:pPr>
              <w:pStyle w:val="Compact"/>
              <w:jc w:val="left"/>
            </w:pPr>
            <w:r>
              <w:t xml:space="preserve">10 months</w:t>
            </w:r>
          </w:p>
        </w:tc>
        <w:tc>
          <w:tcPr/>
          <w:p>
            <w:pPr>
              <w:pStyle w:val="Compact"/>
              <w:jc w:val="left"/>
            </w:pPr>
            <w:r>
              <w:t xml:space="preserve">15,000.00</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Keynote lecture honoraria and conference participation (Abu Dhabi International Academic Conference, UAE)</w:t>
            </w:r>
          </w:p>
        </w:tc>
        <w:tc>
          <w:tcPr/>
          <w:p>
            <w:pPr>
              <w:pStyle w:val="Compact"/>
              <w:jc w:val="left"/>
            </w:pPr>
            <w:r>
              <w:t xml:space="preserve">2 lectures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08</w:t>
            </w:r>
          </w:p>
        </w:tc>
        <w:tc>
          <w:tcPr/>
          <w:p>
            <w:pPr>
              <w:pStyle w:val="Compact"/>
              <w:jc w:val="left"/>
            </w:pPr>
            <w:r>
              <w:t xml:space="preserve">Comprehensive health insurance coverage (UAE-compliant, covering Abu Dhabi and all emirates)</w:t>
            </w:r>
          </w:p>
        </w:tc>
        <w:tc>
          <w:tcPr/>
          <w:p>
            <w:pPr>
              <w:pStyle w:val="Compact"/>
              <w:jc w:val="left"/>
            </w:pPr>
            <w:r>
              <w:t xml:space="preserve">10 months</w:t>
            </w:r>
          </w:p>
        </w:tc>
        <w:tc>
          <w:tcPr/>
          <w:p>
            <w:pPr>
              <w:pStyle w:val="Compact"/>
              <w:jc w:val="left"/>
            </w:pPr>
            <w:r>
              <w:t xml:space="preserve">6,500.00</w:t>
            </w:r>
          </w:p>
        </w:tc>
        <w:tc>
          <w:tcPr/>
          <w:p>
            <w:pPr>
              <w:pStyle w:val="Compact"/>
              <w:jc w:val="left"/>
            </w:pPr>
            <w:r>
              <w:t xml:space="preserve">65,000.00</w:t>
            </w:r>
          </w:p>
        </w:tc>
      </w:tr>
      <w:tr>
        <w:tc>
          <w:tcPr/>
          <w:p>
            <w:pPr>
              <w:pStyle w:val="Compact"/>
              <w:jc w:val="left"/>
            </w:pPr>
            <w:r>
              <w:t xml:space="preserve">09</w:t>
            </w:r>
          </w:p>
        </w:tc>
        <w:tc>
          <w:tcPr/>
          <w:p>
            <w:pPr>
              <w:pStyle w:val="Compact"/>
              <w:jc w:val="left"/>
            </w:pPr>
            <w:r>
              <w:t xml:space="preserve">Administrative and coordination support (dedicated academic affairs officer, Abu Dhabi, UAE)</w:t>
            </w:r>
          </w:p>
        </w:tc>
        <w:tc>
          <w:tcPr/>
          <w:p>
            <w:pPr>
              <w:pStyle w:val="Compact"/>
              <w:jc w:val="left"/>
            </w:pPr>
            <w:r>
              <w:t xml:space="preserve">10 months</w:t>
            </w:r>
          </w:p>
        </w:tc>
        <w:tc>
          <w:tcPr/>
          <w:p>
            <w:pPr>
              <w:pStyle w:val="Compact"/>
              <w:jc w:val="left"/>
            </w:pPr>
            <w:r>
              <w:t xml:space="preserve">8,000.00</w:t>
            </w:r>
          </w:p>
        </w:tc>
        <w:tc>
          <w:tcPr/>
          <w:p>
            <w:pPr>
              <w:pStyle w:val="Compact"/>
              <w:jc w:val="left"/>
            </w:pPr>
            <w:r>
              <w:t xml:space="preserve">80,000.00</w:t>
            </w:r>
          </w:p>
        </w:tc>
      </w:tr>
      <w:tr>
        <w:tc>
          <w:tcPr/>
          <w:p>
            <w:pPr>
              <w:pStyle w:val="Compact"/>
              <w:jc w:val="left"/>
            </w:pPr>
            <w:r>
              <w:t xml:space="preserve">10</w:t>
            </w:r>
          </w:p>
        </w:tc>
        <w:tc>
          <w:tcPr/>
          <w:p>
            <w:pPr>
              <w:pStyle w:val="Compact"/>
              <w:jc w:val="left"/>
            </w:pPr>
            <w:r>
              <w:t xml:space="preserve">Contingency and miscellaneous expenses (estimated at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98,400.00</w:t>
            </w:r>
          </w:p>
        </w:tc>
      </w:tr>
      <w:tr>
        <w:tc>
          <w:tcPr>
            <w:gridSpan w:val="4"/>
          </w:tcPr>
          <w:p>
            <w:pPr>
              <w:pStyle w:val="Compact"/>
              <w:jc w:val="left"/>
            </w:pPr>
            <w:r>
              <w:t xml:space="preserve">GRAND TOTAL (All amounts in AED, United Arab Emirates Dirham)</w:t>
            </w:r>
          </w:p>
        </w:tc>
        <w:tc>
          <w:tcPr/>
          <w:p>
            <w:pPr>
              <w:pStyle w:val="Compact"/>
              <w:jc w:val="left"/>
            </w:pPr>
            <w:r>
              <w:t xml:space="preserve">1,886,900.00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by Al Noor Educational Services LLC, Abu Dhabi, United Arab Emirates.</w:t>
      </w:r>
    </w:p>
    <w:p>
      <w:pPr>
        <w:numPr>
          <w:ilvl w:val="0"/>
          <w:numId w:val="1002"/>
        </w:numPr>
        <w:pStyle w:val="Compact"/>
      </w:pPr>
      <w:r>
        <w:t xml:space="preserve">All financial obligations outlined in this</w:t>
      </w:r>
      <w:r>
        <w:t xml:space="preserve"> </w:t>
      </w:r>
      <w:r>
        <w:t xml:space="preserve">Quotation Estimate</w:t>
      </w:r>
      <w:r>
        <w:t xml:space="preserve"> </w:t>
      </w:r>
      <w:r>
        <w:t xml:space="preserve">shall be settled in United Arab Emirates Dirhams (AED) via bank transfer to the designated account of Al Noor Educational Services LLC, registered in Abu Dhabi, UAE.</w:t>
      </w:r>
    </w:p>
    <w:p>
      <w:pPr>
        <w:numPr>
          <w:ilvl w:val="0"/>
          <w:numId w:val="1002"/>
        </w:numPr>
        <w:pStyle w:val="Compact"/>
      </w:pPr>
      <w:r>
        <w:t xml:space="preserve">Payment shall be structured as follows: 30% advance upon acceptance of this</w:t>
      </w:r>
      <w:r>
        <w:t xml:space="preserve"> </w:t>
      </w:r>
      <w:r>
        <w:t xml:space="preserve">Quotation Estimate</w:t>
      </w:r>
      <w:r>
        <w:t xml:space="preserve">, 50% payable in two equal installments at the midpoint and end of the engagement period, and the remaining 20% upon successful completion of all deliverables by the</w:t>
      </w:r>
      <w:r>
        <w:t xml:space="preserve"> </w:t>
      </w:r>
      <w:r>
        <w:t xml:space="preserve">Professor</w:t>
      </w:r>
      <w:r>
        <w:t xml:space="preserve">.</w:t>
      </w:r>
    </w:p>
    <w:p>
      <w:pPr>
        <w:numPr>
          <w:ilvl w:val="0"/>
          <w:numId w:val="1002"/>
        </w:numPr>
        <w:pStyle w:val="Compact"/>
      </w:pPr>
      <w:r>
        <w:t xml:space="preserve">The</w:t>
      </w:r>
      <w:r>
        <w:t xml:space="preserve"> </w:t>
      </w:r>
      <w:r>
        <w:t xml:space="preserve">Professor</w:t>
      </w:r>
      <w:r>
        <w:t xml:space="preserve">'s engagement is governed by the labor laws of the United Arab Emirates, specifically Federal Decree-Law No. 33 of 2021 on the Regulation of Labour Relations, and the academic regulations of the Federal University of Abu Dhabi.</w:t>
      </w:r>
    </w:p>
    <w:p>
      <w:pPr>
        <w:numPr>
          <w:ilvl w:val="0"/>
          <w:numId w:val="1002"/>
        </w:numPr>
        <w:pStyle w:val="Compact"/>
      </w:pPr>
      <w:r>
        <w:t xml:space="preserve">Any changes to the scope of work, duration of engagement, or deliverables must be documented in a formal amendment to this</w:t>
      </w:r>
      <w:r>
        <w:t xml:space="preserve"> </w:t>
      </w:r>
      <w:r>
        <w:t xml:space="preserve">Quotation Estimate</w:t>
      </w:r>
      <w:r>
        <w:t xml:space="preserve">, signed by both parties, and shall be subject to a revised cost assessment.</w:t>
      </w:r>
    </w:p>
    <w:p>
      <w:pPr>
        <w:numPr>
          <w:ilvl w:val="0"/>
          <w:numId w:val="1002"/>
        </w:numPr>
        <w:pStyle w:val="Compact"/>
      </w:pPr>
      <w:r>
        <w:t xml:space="preserve">The</w:t>
      </w:r>
      <w:r>
        <w:t xml:space="preserve"> </w:t>
      </w:r>
      <w:r>
        <w:t xml:space="preserve">Professor</w:t>
      </w:r>
      <w:r>
        <w:t xml:space="preserve"> </w:t>
      </w:r>
      <w:r>
        <w:t xml:space="preserve">is required to maintain professional conduct in accordance with the cultural norms and legal framework of the United Arab Emirates, Abu Dhabi, at all times during the engagement period.</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the issuing authority and the</w:t>
      </w:r>
      <w:r>
        <w:t xml:space="preserve"> </w:t>
      </w:r>
      <w:r>
        <w:t xml:space="preserve">Professor</w:t>
      </w:r>
      <w:r>
        <w:t xml:space="preserve">, or their duly authorized representatives.</w:t>
      </w:r>
    </w:p>
    <w:p>
      <w:pPr>
        <w:numPr>
          <w:ilvl w:val="0"/>
          <w:numId w:val="1002"/>
        </w:numPr>
        <w:pStyle w:val="Compact"/>
      </w:pPr>
      <w:r>
        <w:t xml:space="preserve">All intellectual property generated by the</w:t>
      </w:r>
      <w:r>
        <w:t xml:space="preserve"> </w:t>
      </w:r>
      <w:r>
        <w:t xml:space="preserve">Professor</w:t>
      </w:r>
      <w:r>
        <w:t xml:space="preserve"> </w:t>
      </w:r>
      <w:r>
        <w:t xml:space="preserve">during the engagement in Abu Dhabi, United Arab Emirates, shall be jointly owned by the Professor and the Federal University of Abu Dhabi, as stipulated in the separate Intellectual Property Agreement.</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arbitration in Abu Dhabi, United Arab Emirates, in accordance with the rules of the Abu Dhabi Global Market (ADGM) Financial Services Regulatory Authority.</w:t>
      </w:r>
    </w:p>
    <w:bookmarkEnd w:id="24"/>
    <w:bookmarkStart w:id="25" w:name="acceptance-and-authorization"/>
    <w:p>
      <w:pPr>
        <w:pStyle w:val="Heading2"/>
      </w:pPr>
      <w:r>
        <w:t xml:space="preserve">5. Acceptance and Authorization</w:t>
      </w:r>
    </w:p>
    <w:p>
      <w:pPr>
        <w:pStyle w:val="FirstParagraph"/>
      </w:pPr>
      <w:r>
        <w:rPr>
          <w:bCs/>
          <w:b/>
        </w:rPr>
        <w:t xml:space="preserve">For and on behalf of:</w:t>
      </w:r>
      <w:r>
        <w:br/>
      </w:r>
      <w:r>
        <w:t xml:space="preserve">Al Noor Educational Services LLC</w:t>
      </w:r>
      <w:r>
        <w:br/>
      </w:r>
      <w:r>
        <w:t xml:space="preserve">Abu Dhabi, United Arab Emirates</w:t>
      </w:r>
    </w:p>
    <w:p>
      <w:pPr>
        <w:pStyle w:val="BodyText"/>
      </w:pPr>
      <w:r>
        <w:t xml:space="preserve">Dr. Khalid Al Mansoori</w:t>
      </w:r>
      <w:r>
        <w:br/>
      </w:r>
      <w:r>
        <w:t xml:space="preserve">Director of Academic Affairs</w:t>
      </w:r>
      <w:r>
        <w:br/>
      </w:r>
      <w:r>
        <w:t xml:space="preserve">Signature &amp; Date</w:t>
      </w:r>
    </w:p>
    <w:p>
      <w:pPr>
        <w:pStyle w:val="BodyText"/>
      </w:pPr>
      <w:r>
        <w:rPr>
          <w:bCs/>
          <w:b/>
        </w:rPr>
        <w:t xml:space="preserve">Accepted by:</w:t>
      </w:r>
      <w:r>
        <w:br/>
      </w:r>
      <w:r>
        <w:t xml:space="preserve">Professor Sarah Mitchell, PhD</w:t>
      </w:r>
      <w:r>
        <w:br/>
      </w:r>
      <w:r>
        <w:t xml:space="preserve">Federal University of Abu Dhabi</w:t>
      </w:r>
      <w:r>
        <w:br/>
      </w:r>
      <w:r>
        <w:t xml:space="preserve">United Arab Emirates</w:t>
      </w:r>
    </w:p>
    <w:p>
      <w:pPr>
        <w:pStyle w:val="BodyText"/>
      </w:pPr>
      <w:r>
        <w:t xml:space="preserve">Professor Sarah Mitchell</w:t>
      </w:r>
      <w:r>
        <w:br/>
      </w:r>
      <w:r>
        <w:t xml:space="preserve">Senior Visiting Academic</w:t>
      </w:r>
      <w:r>
        <w:br/>
      </w:r>
      <w:r>
        <w:t xml:space="preserve">Signature &amp; Date</w:t>
      </w:r>
    </w:p>
    <w:p>
      <w:pPr>
        <w:pStyle w:val="BodyText"/>
      </w:pPr>
      <w:r>
        <w:rPr>
          <w:bCs/>
          <w:b/>
        </w:rPr>
        <w:t xml:space="preserve">Important Note:</w:t>
      </w:r>
      <w:r>
        <w:t xml:space="preserve"> </w:t>
      </w:r>
      <w:r>
        <w:t xml:space="preserve">This Quotation Estimate has been prepared exclusively for the engagement of Professor Sarah Mitchell in Abu Dhabi, United Arab Emirates, and is not transferable to any other individual, institution, or jurisdiction. All costs are quoted in AED and are inclusive of applicable UAE Value Added Tax (VAT) at the prevailing rate of 5%, unless otherwise stated. For inquiries or amendments, please contact the Academic Affairs Office, Al Noor Educational Services LLC, Corniche Road, Abu Dhabi, United Arab Emirates. Telephone: +971-2-XXXX-XXXX. Email: academic@alnoor-edu.ae.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Engagement - United Arab Emirates Abu Dhabi</dc:title>
  <dc:creator/>
  <dc:language>en</dc:language>
  <cp:keywords/>
  <dcterms:created xsi:type="dcterms:W3CDTF">2026-10-10T04:43:42Z</dcterms:created>
  <dcterms:modified xsi:type="dcterms:W3CDTF">2026-10-10T04:43:42Z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