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t xml:space="preserve">Professional Academic &amp; Consulting Services</w:t>
      </w:r>
    </w:p>
    <w:p>
      <w:pPr>
        <w:pStyle w:val="BodyText"/>
      </w:pPr>
      <w:r>
        <w:t xml:space="preserve">Document Reference: QTE-MIA-2025-0047 | Valid in United States Miami</w:t>
      </w:r>
    </w:p>
    <w:bookmarkEnd w:id="20"/>
    <w:p>
      <w:pPr>
        <w:pStyle w:val="BodyText"/>
      </w:pPr>
      <w:r>
        <w:rPr>
          <w:bCs/>
          <w:b/>
        </w:rPr>
        <w:t xml:space="preserve">Prepared By:</w:t>
      </w:r>
      <w:r>
        <w:br/>
      </w:r>
      <w:r>
        <w:t xml:space="preserve">Dr. Eleanor M. Castellanos, Ph.D.</w:t>
      </w:r>
      <w:r>
        <w:br/>
      </w:r>
      <w:r>
        <w:t xml:space="preserve">Professor of Applied Economics &amp; Policy Studies</w:t>
      </w:r>
      <w:r>
        <w:br/>
      </w:r>
      <w:r>
        <w:t xml:space="preserve">University of Miami, Coral Gables Campus</w:t>
      </w:r>
    </w:p>
    <w:p>
      <w:pPr>
        <w:pStyle w:val="BodyText"/>
      </w:pPr>
      <w:r>
        <w:rPr>
          <w:bCs/>
          <w:b/>
        </w:rPr>
        <w:t xml:space="preserve">Prepared For:</w:t>
      </w:r>
      <w:r>
        <w:br/>
      </w:r>
      <w:r>
        <w:t xml:space="preserve">Miami-Dade County Economic Development Office</w:t>
      </w:r>
      <w:r>
        <w:br/>
      </w:r>
      <w:r>
        <w:t xml:space="preserve">1102 NW 14th Street, Miami, FL 33136</w:t>
      </w:r>
      <w:r>
        <w:br/>
      </w:r>
      <w:r>
        <w:t xml:space="preserve">United States</w:t>
      </w:r>
    </w:p>
    <w:p>
      <w:pPr>
        <w:pStyle w:val="BodyText"/>
      </w:pPr>
      <w:r>
        <w:rPr>
          <w:bCs/>
          <w:b/>
        </w:rPr>
        <w:t xml:space="preserve">Date Issued:</w:t>
      </w:r>
      <w:r>
        <w:br/>
      </w:r>
      <w:r>
        <w:t xml:space="preserve">June 12, 2025</w:t>
      </w:r>
      <w:r>
        <w:br/>
      </w:r>
      <w:r>
        <w:rPr>
          <w:bCs/>
          <w:b/>
        </w:rPr>
        <w:t xml:space="preserve">Valid Until:</w:t>
      </w:r>
      <w:r>
        <w:br/>
      </w:r>
      <w:r>
        <w:t xml:space="preserve">September 12, 2025</w:t>
      </w:r>
    </w:p>
    <w:bookmarkStart w:id="21" w:name="purpose-of-this-quotation-estimate"/>
    <w:p>
      <w:pPr>
        <w:pStyle w:val="Heading2"/>
      </w:pPr>
      <w:r>
        <w:t xml:space="preserve">1. Purpose of This Quotation Estimate</w:t>
      </w:r>
    </w:p>
    <w:p>
      <w:pPr>
        <w:pStyle w:val="FirstParagraph"/>
      </w:pPr>
      <w:r>
        <w:t xml:space="preserve">This Quotation Estimate is formally issued by Professor Dr. Eleanor M. Castellanos in her capacity as a senior academic consultant and Professor of Applied Economics at the University of Miami. This document outlines the scope of professional services, associated costs, and terms of engagement for the provision of expert academic consulting, research advisory, and policy analysis services to the Miami-Dade County Economic Development Office. All figures presented in this Quotation Estimate are denominated in United States Dollars (USD) and are applicable within the jurisdiction of United States Miami, Florida. This Quotation Estimate reflects the Professor's standard professional rates as established by the University of Miami's Office of Sponsored Programs and is subject to the terms and conditions outlined herein.</w:t>
      </w:r>
    </w:p>
    <w:bookmarkEnd w:id="21"/>
    <w:bookmarkStart w:id="22" w:name="scope-of-services"/>
    <w:p>
      <w:pPr>
        <w:pStyle w:val="Heading2"/>
      </w:pPr>
      <w:r>
        <w:t xml:space="preserve">2. Scope of Services</w:t>
      </w:r>
    </w:p>
    <w:p>
      <w:pPr>
        <w:pStyle w:val="FirstParagraph"/>
      </w:pPr>
      <w:r>
        <w:t xml:space="preserve">The Professor has been engaged to deliver a comprehensive suite of academic and consulting services tailored to the economic development strategy of the Miami metropolitan area. The scope encompasses the following deliverables:</w:t>
      </w:r>
    </w:p>
    <w:p>
      <w:pPr>
        <w:numPr>
          <w:ilvl w:val="0"/>
          <w:numId w:val="1001"/>
        </w:numPr>
        <w:pStyle w:val="Compact"/>
      </w:pPr>
      <w:r>
        <w:rPr>
          <w:bCs/>
          <w:b/>
        </w:rPr>
        <w:t xml:space="preserve">Policy Research &amp; Analysis:</w:t>
      </w:r>
      <w:r>
        <w:t xml:space="preserve"> </w:t>
      </w:r>
      <w:r>
        <w:t xml:space="preserve">Conducting in-depth economic impact assessments for proposed infrastructure projects in the Miami-Dade region, including the Port of Miami expansion and the Brightline rail corridor development.</w:t>
      </w:r>
    </w:p>
    <w:p>
      <w:pPr>
        <w:numPr>
          <w:ilvl w:val="0"/>
          <w:numId w:val="1001"/>
        </w:numPr>
        <w:pStyle w:val="Compact"/>
      </w:pPr>
      <w:r>
        <w:rPr>
          <w:bCs/>
          <w:b/>
        </w:rPr>
        <w:t xml:space="preserve">Academic Advisory Board Participation:</w:t>
      </w:r>
      <w:r>
        <w:t xml:space="preserve"> </w:t>
      </w:r>
      <w:r>
        <w:t xml:space="preserve">Serving as a lead Professor on the county's Economic Advisory Council for a period of twelve (12) months, attending bi-weekly sessions and providing written recommendations.</w:t>
      </w:r>
    </w:p>
    <w:p>
      <w:pPr>
        <w:numPr>
          <w:ilvl w:val="0"/>
          <w:numId w:val="1001"/>
        </w:numPr>
        <w:pStyle w:val="Compact"/>
      </w:pPr>
      <w:r>
        <w:rPr>
          <w:bCs/>
          <w:b/>
        </w:rPr>
        <w:t xml:space="preserve">Workshop &amp; Training Facilitation:</w:t>
      </w:r>
      <w:r>
        <w:t xml:space="preserve"> </w:t>
      </w:r>
      <w:r>
        <w:t xml:space="preserve">Designing and delivering four (4) professional development workshops for municipal planners and economic development officers based in United States Miami, covering topics in regional economic modeling, workforce analytics, and sustainable urban growth frameworks.</w:t>
      </w:r>
    </w:p>
    <w:p>
      <w:pPr>
        <w:numPr>
          <w:ilvl w:val="0"/>
          <w:numId w:val="1001"/>
        </w:numPr>
        <w:pStyle w:val="Compact"/>
      </w:pPr>
      <w:r>
        <w:rPr>
          <w:bCs/>
          <w:b/>
        </w:rPr>
        <w:t xml:space="preserve">Published Research Deliverables:</w:t>
      </w:r>
      <w:r>
        <w:t xml:space="preserve"> </w:t>
      </w:r>
      <w:r>
        <w:t xml:space="preserve">Authoring two (2) peer-reviewed policy briefs and one (1) comprehensive white paper on the economic resilience of the Miami metropolitan area in the context of climate adaptation and post-pandemic recovery.</w:t>
      </w:r>
    </w:p>
    <w:p>
      <w:pPr>
        <w:numPr>
          <w:ilvl w:val="0"/>
          <w:numId w:val="1001"/>
        </w:numPr>
        <w:pStyle w:val="Compact"/>
      </w:pPr>
      <w:r>
        <w:rPr>
          <w:bCs/>
          <w:b/>
        </w:rPr>
        <w:t xml:space="preserve">Student Supervision &amp; Mentoring:</w:t>
      </w:r>
      <w:r>
        <w:t xml:space="preserve"> </w:t>
      </w:r>
      <w:r>
        <w:t xml:space="preserve">Supervising three (3) graduate research assistants from the University of Miami's Department of Economics who will support the Professor's consulting engagements for the county.</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Policy Research &amp; Economic Impact Assessment (Port of Miami &amp; Brightline)</w:t>
            </w:r>
          </w:p>
        </w:tc>
        <w:tc>
          <w:tcPr/>
          <w:p>
            <w:pPr>
              <w:pStyle w:val="Compact"/>
              <w:jc w:val="left"/>
            </w:pPr>
            <w:r>
              <w:t xml:space="preserve">3 months</w:t>
            </w:r>
          </w:p>
        </w:tc>
        <w:tc>
          <w:tcPr/>
          <w:p>
            <w:pPr>
              <w:pStyle w:val="Compact"/>
              <w:jc w:val="left"/>
            </w:pPr>
            <w:r>
              <w:t xml:space="preserve">$12,500.00</w:t>
            </w:r>
          </w:p>
        </w:tc>
        <w:tc>
          <w:tcPr/>
          <w:p>
            <w:pPr>
              <w:pStyle w:val="Compact"/>
              <w:jc w:val="left"/>
            </w:pPr>
            <w:r>
              <w:t xml:space="preserve">$37,500.00</w:t>
            </w:r>
          </w:p>
        </w:tc>
      </w:tr>
      <w:tr>
        <w:tc>
          <w:tcPr/>
          <w:p>
            <w:pPr>
              <w:pStyle w:val="Compact"/>
              <w:jc w:val="left"/>
            </w:pPr>
            <w:r>
              <w:t xml:space="preserve">02</w:t>
            </w:r>
          </w:p>
        </w:tc>
        <w:tc>
          <w:tcPr/>
          <w:p>
            <w:pPr>
              <w:pStyle w:val="Compact"/>
              <w:jc w:val="left"/>
            </w:pPr>
            <w:r>
              <w:t xml:space="preserve">Economic Advisory Council – Professor Lead Membership</w:t>
            </w:r>
          </w:p>
        </w:tc>
        <w:tc>
          <w:tcPr/>
          <w:p>
            <w:pPr>
              <w:pStyle w:val="Compact"/>
              <w:jc w:val="left"/>
            </w:pPr>
            <w:r>
              <w:t xml:space="preserve">12 months</w:t>
            </w:r>
          </w:p>
        </w:tc>
        <w:tc>
          <w:tcPr/>
          <w:p>
            <w:pPr>
              <w:pStyle w:val="Compact"/>
              <w:jc w:val="left"/>
            </w:pPr>
            <w:r>
              <w:t xml:space="preserve">$4,200.00/mo</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Professional Development Workshops (Design &amp; Delivery)</w:t>
            </w:r>
          </w:p>
        </w:tc>
        <w:tc>
          <w:tcPr/>
          <w:p>
            <w:pPr>
              <w:pStyle w:val="Compact"/>
              <w:jc w:val="left"/>
            </w:pPr>
            <w:r>
              <w:t xml:space="preserve">4 sessions</w:t>
            </w:r>
          </w:p>
        </w:tc>
        <w:tc>
          <w:tcPr/>
          <w:p>
            <w:pPr>
              <w:pStyle w:val="Compact"/>
              <w:jc w:val="left"/>
            </w:pPr>
            <w:r>
              <w:t xml:space="preserve">$3,800.00</w:t>
            </w:r>
          </w:p>
        </w:tc>
        <w:tc>
          <w:tcPr/>
          <w:p>
            <w:pPr>
              <w:pStyle w:val="Compact"/>
              <w:jc w:val="left"/>
            </w:pPr>
            <w:r>
              <w:t xml:space="preserve">$15,200.00</w:t>
            </w:r>
          </w:p>
        </w:tc>
      </w:tr>
      <w:tr>
        <w:tc>
          <w:tcPr/>
          <w:p>
            <w:pPr>
              <w:pStyle w:val="Compact"/>
              <w:jc w:val="left"/>
            </w:pPr>
            <w:r>
              <w:t xml:space="preserve">04</w:t>
            </w:r>
          </w:p>
        </w:tc>
        <w:tc>
          <w:tcPr/>
          <w:p>
            <w:pPr>
              <w:pStyle w:val="Compact"/>
              <w:jc w:val="left"/>
            </w:pPr>
            <w:r>
              <w:t xml:space="preserve">Peer-Reviewed Policy Briefs (2) &amp; White Paper (1)</w:t>
            </w:r>
          </w:p>
        </w:tc>
        <w:tc>
          <w:tcPr/>
          <w:p>
            <w:pPr>
              <w:pStyle w:val="Compact"/>
              <w:jc w:val="left"/>
            </w:pPr>
            <w:r>
              <w:t xml:space="preserve">3 documents</w:t>
            </w:r>
          </w:p>
        </w:tc>
        <w:tc>
          <w:tcPr/>
          <w:p>
            <w:pPr>
              <w:pStyle w:val="Compact"/>
              <w:jc w:val="left"/>
            </w:pPr>
            <w:r>
              <w:t xml:space="preserve">$6,500.00</w:t>
            </w:r>
          </w:p>
        </w:tc>
        <w:tc>
          <w:tcPr/>
          <w:p>
            <w:pPr>
              <w:pStyle w:val="Compact"/>
              <w:jc w:val="left"/>
            </w:pPr>
            <w:r>
              <w:t xml:space="preserve">$19,500.00</w:t>
            </w:r>
          </w:p>
        </w:tc>
      </w:tr>
      <w:tr>
        <w:tc>
          <w:tcPr/>
          <w:p>
            <w:pPr>
              <w:pStyle w:val="Compact"/>
              <w:jc w:val="left"/>
            </w:pPr>
            <w:r>
              <w:t xml:space="preserve">05</w:t>
            </w:r>
          </w:p>
        </w:tc>
        <w:tc>
          <w:tcPr/>
          <w:p>
            <w:pPr>
              <w:pStyle w:val="Compact"/>
              <w:jc w:val="left"/>
            </w:pPr>
            <w:r>
              <w:t xml:space="preserve">Graduate Research Assistant Supervision &amp; Mentoring</w:t>
            </w:r>
          </w:p>
        </w:tc>
        <w:tc>
          <w:tcPr/>
          <w:p>
            <w:pPr>
              <w:pStyle w:val="Compact"/>
              <w:jc w:val="left"/>
            </w:pPr>
            <w:r>
              <w:t xml:space="preserve">12 months</w:t>
            </w:r>
          </w:p>
        </w:tc>
        <w:tc>
          <w:tcPr/>
          <w:p>
            <w:pPr>
              <w:pStyle w:val="Compact"/>
              <w:jc w:val="left"/>
            </w:pPr>
            <w:r>
              <w:t xml:space="preserve">$1,800.00/mo</w:t>
            </w:r>
          </w:p>
        </w:tc>
        <w:tc>
          <w:tcPr/>
          <w:p>
            <w:pPr>
              <w:pStyle w:val="Compact"/>
              <w:jc w:val="left"/>
            </w:pPr>
            <w:r>
              <w:t xml:space="preserve">$21,600.00</w:t>
            </w:r>
          </w:p>
        </w:tc>
      </w:tr>
      <w:tr>
        <w:tc>
          <w:tcPr/>
          <w:p>
            <w:pPr>
              <w:pStyle w:val="Compact"/>
              <w:jc w:val="left"/>
            </w:pPr>
            <w:r>
              <w:t xml:space="preserve">06</w:t>
            </w:r>
          </w:p>
        </w:tc>
        <w:tc>
          <w:tcPr/>
          <w:p>
            <w:pPr>
              <w:pStyle w:val="Compact"/>
              <w:jc w:val="left"/>
            </w:pPr>
            <w:r>
              <w:t xml:space="preserve">Travel &amp; Local Transportation within United States Miami</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$2,800.00</w:t>
            </w:r>
          </w:p>
        </w:tc>
      </w:tr>
      <w:tr>
        <w:tc>
          <w:tcPr/>
          <w:p>
            <w:pPr>
              <w:pStyle w:val="Compact"/>
              <w:jc w:val="left"/>
            </w:pPr>
            <w:r>
              <w:t xml:space="preserve">07</w:t>
            </w:r>
          </w:p>
        </w:tc>
        <w:tc>
          <w:tcPr/>
          <w:p>
            <w:pPr>
              <w:pStyle w:val="Compact"/>
              <w:jc w:val="left"/>
            </w:pPr>
            <w:r>
              <w:t xml:space="preserve">Administrative &amp; University Overhead (15%)</w:t>
            </w:r>
          </w:p>
        </w:tc>
        <w:tc>
          <w:tcPr/>
          <w:p>
            <w:pPr>
              <w:pStyle w:val="Compact"/>
              <w:jc w:val="left"/>
            </w:pPr>
            <w:r>
              <w:t xml:space="preserve">Applied</w:t>
            </w:r>
          </w:p>
        </w:tc>
        <w:tc>
          <w:tcPr/>
          <w:p>
            <w:pPr>
              <w:pStyle w:val="Compact"/>
              <w:jc w:val="left"/>
            </w:pPr>
            <w:r>
              <w:t xml:space="preserve">—</w:t>
            </w:r>
          </w:p>
        </w:tc>
        <w:tc>
          <w:tcPr/>
          <w:p>
            <w:pPr>
              <w:pStyle w:val="Compact"/>
              <w:jc w:val="left"/>
            </w:pPr>
            <w:r>
              <w:t xml:space="preserve">$20,955.00</w:t>
            </w:r>
          </w:p>
        </w:tc>
      </w:tr>
      <w:tr>
        <w:tc>
          <w:tcPr>
            <w:gridSpan w:val="4"/>
          </w:tcPr>
          <w:p>
            <w:pPr>
              <w:pStyle w:val="Compact"/>
              <w:jc w:val="right"/>
            </w:pPr>
            <w:r>
              <w:t xml:space="preserve">TOTAL ESTIMATED COST (USD):</w:t>
            </w:r>
          </w:p>
        </w:tc>
        <w:tc>
          <w:tcPr/>
          <w:p>
            <w:pPr>
              <w:pStyle w:val="Compact"/>
              <w:jc w:val="left"/>
            </w:pPr>
            <w:r>
              <w:t xml:space="preserve">$167,955.00</w:t>
            </w:r>
          </w:p>
        </w:tc>
      </w:tr>
    </w:tbl>
    <w:bookmarkEnd w:id="23"/>
    <w:bookmarkStart w:id="24" w:name="payment-terms-schedule"/>
    <w:p>
      <w:pPr>
        <w:pStyle w:val="Heading2"/>
      </w:pPr>
      <w:r>
        <w:t xml:space="preserve">4. Payment Terms &amp; Schedule</w:t>
      </w:r>
    </w:p>
    <w:p>
      <w:pPr>
        <w:pStyle w:val="FirstParagraph"/>
      </w:pPr>
      <w:r>
        <w:t xml:space="preserve">Payment for the services outlined in this Quotation Estimate shall be made in accordance with the following schedule: an initial deposit of twenty-five percent (25%) of the total estimated cost, amounting to $41,988.75, is due upon execution of the formal service agreement. The remaining balance shall be invoiced in quarterly installments of approximately $41,988.75, payable within thirty (30) days of invoice receipt. All payments shall be processed via electronic funds transfer (EFT) to the University of Miami's designated accounts receivable office. Late payments shall accrue interest at a rate of 1.5% per month, in compliance with Florida state procurement regulations applicable to United States Miami municipal contracts.</w:t>
      </w:r>
    </w:p>
    <w:bookmarkEnd w:id="24"/>
    <w:bookmarkStart w:id="25" w:name="terms-conditions-assumptions"/>
    <w:p>
      <w:pPr>
        <w:pStyle w:val="Heading2"/>
      </w:pPr>
      <w:r>
        <w:t xml:space="preserve">5. Terms, Conditions &amp; Assumptions</w:t>
      </w:r>
    </w:p>
    <w:p>
      <w:pPr>
        <w:pStyle w:val="FirstParagraph"/>
      </w:pPr>
      <w:r>
        <w:rPr>
          <w:bCs/>
          <w:b/>
        </w:rPr>
        <w:t xml:space="preserve">Important Notes Regarding This Quotation Estimate:</w:t>
      </w:r>
    </w:p>
    <w:p>
      <w:pPr>
        <w:numPr>
          <w:ilvl w:val="0"/>
          <w:numId w:val="1002"/>
        </w:numPr>
        <w:pStyle w:val="Compact"/>
      </w:pPr>
      <w:r>
        <w:t xml:space="preserve">This Quotation Estimate is valid for a period of ninety (90) days from the date of issue. Beyond this period, the Professor reserves the right to revise rates based on current market conditions in United States Miami.</w:t>
      </w:r>
    </w:p>
    <w:p>
      <w:pPr>
        <w:numPr>
          <w:ilvl w:val="0"/>
          <w:numId w:val="1002"/>
        </w:numPr>
        <w:pStyle w:val="Compact"/>
      </w:pPr>
      <w:r>
        <w:t xml:space="preserve">All services will be performed in compliance with the University of Miami's conflict-of-interest policies and the Florida Sunshine Law governing public academic engagements.</w:t>
      </w:r>
    </w:p>
    <w:p>
      <w:pPr>
        <w:numPr>
          <w:ilvl w:val="0"/>
          <w:numId w:val="1002"/>
        </w:numPr>
        <w:pStyle w:val="Compact"/>
      </w:pPr>
      <w:r>
        <w:t xml:space="preserve">The Professor's academic obligations at the University of Miami, including teaching and research duties, take precedence. Scheduling conflicts may result in a one-week delay in deliverables, which shall not be considered a breach of contract.</w:t>
      </w:r>
    </w:p>
    <w:p>
      <w:pPr>
        <w:numPr>
          <w:ilvl w:val="0"/>
          <w:numId w:val="1002"/>
        </w:numPr>
        <w:pStyle w:val="Compact"/>
      </w:pPr>
      <w:r>
        <w:t xml:space="preserve">Intellectual property generated under this engagement shall be jointly owned by the Professor and the Miami-Dade County, with the Professor retaining the right to publish findings in academic journals.</w:t>
      </w:r>
    </w:p>
    <w:p>
      <w:pPr>
        <w:numPr>
          <w:ilvl w:val="0"/>
          <w:numId w:val="1002"/>
        </w:numPr>
        <w:pStyle w:val="Compact"/>
      </w:pPr>
      <w:r>
        <w:t xml:space="preserve">This Quotation Estimate does not constitute a binding contract until a formal service agreement is executed by both parties.</w:t>
      </w:r>
    </w:p>
    <w:p>
      <w:pPr>
        <w:numPr>
          <w:ilvl w:val="0"/>
          <w:numId w:val="1002"/>
        </w:numPr>
        <w:pStyle w:val="Compact"/>
      </w:pPr>
      <w:r>
        <w:t xml:space="preserve">All work will be conducted primarily at the University of Miami campus in Coral Gables and at the Miami-Dade County offices in downtown Miami, United States.</w:t>
      </w:r>
    </w:p>
    <w:bookmarkEnd w:id="25"/>
    <w:bookmarkStart w:id="26" w:name="acceptance-authorization"/>
    <w:p>
      <w:pPr>
        <w:pStyle w:val="Heading2"/>
      </w:pPr>
      <w:r>
        <w:t xml:space="preserve">6. Acceptance &amp; Authorization</w:t>
      </w:r>
    </w:p>
    <w:p>
      <w:pPr>
        <w:pStyle w:val="FirstParagraph"/>
      </w:pPr>
      <w:r>
        <w:t xml:space="preserve">By signing below, the authorized representative of the Miami-Dade County Economic Development Office acknowledges receipt of this Quotation Estimate and agrees to the terms, conditions, and cost estimates presented herein. The Professor, Dr. Eleanor M. Castellanos, confirms that the rates and scope of services described are accurate and represent her standard professional engagement terms for academic consulting in the United States Miami region.</w:t>
      </w:r>
    </w:p>
    <w:p>
      <w:pPr>
        <w:pStyle w:val="BodyText"/>
      </w:pPr>
      <w:r>
        <w:rPr>
          <w:bCs/>
          <w:b/>
        </w:rPr>
        <w:t xml:space="preserve">Dr. Eleanor M. Castellanos, Ph.D.</w:t>
      </w:r>
      <w:r>
        <w:br/>
      </w:r>
      <w:r>
        <w:t xml:space="preserve">Professor of Applied Economics</w:t>
      </w:r>
      <w:r>
        <w:br/>
      </w:r>
      <w:r>
        <w:t xml:space="preserve">University of Miami</w:t>
      </w:r>
      <w:r>
        <w:br/>
      </w:r>
      <w:r>
        <w:t xml:space="preserve">Date: _______________</w:t>
      </w:r>
    </w:p>
    <w:p>
      <w:pPr>
        <w:pStyle w:val="BodyText"/>
      </w:pPr>
      <w:r>
        <w:rPr>
          <w:bCs/>
          <w:b/>
        </w:rPr>
        <w:t xml:space="preserve">Authorized Representative</w:t>
      </w:r>
      <w:r>
        <w:br/>
      </w:r>
      <w:r>
        <w:t xml:space="preserve">Miami-Dade County Economic Development Office</w:t>
      </w:r>
      <w:r>
        <w:br/>
      </w:r>
      <w:r>
        <w:t xml:space="preserve">United States Miami, FL 33136</w:t>
      </w:r>
      <w:r>
        <w:br/>
      </w:r>
      <w:r>
        <w:t xml:space="preserve">Date: _______________</w:t>
      </w:r>
    </w:p>
    <w:p>
      <w:pPr>
        <w:pStyle w:val="BodyText"/>
      </w:pPr>
      <w:r>
        <w:t xml:space="preserve">Quotation Estimate QTE-MIA-2025-0047 | Issued by the Office of the Professor, Department of Economics, University of Miami | 1320 College Drive, Coral Gables, FL 33146, United States Miami</w:t>
      </w:r>
      <w:r>
        <w:br/>
      </w:r>
      <w:r>
        <w:t xml:space="preserve">This document is confidential and intended solely for the named recipient. Unauthorized reproduction or distribution is prohibited under Florida Statutes Chapter 257.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United States Miami</dc:title>
  <dc:creator/>
  <dc:language>en</dc:language>
  <cp:keywords/>
  <dcterms:created xsi:type="dcterms:W3CDTF">2026-10-10T01:57:43Z</dcterms:created>
  <dcterms:modified xsi:type="dcterms:W3CDTF">2026-10-10T01:57:43Z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