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Professor</w:t>
      </w:r>
      <w:r>
        <w:t xml:space="preserve"> </w:t>
      </w:r>
      <w:r>
        <w:t xml:space="preserve">Services</w:t>
      </w:r>
      <w:r>
        <w:t xml:space="preserve"> </w:t>
      </w:r>
      <w:r>
        <w:t xml:space="preserve">-</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20" w:name="quotation-estimate"/>
    <w:p>
      <w:pPr>
        <w:pStyle w:val="Heading1"/>
      </w:pPr>
      <w:r>
        <w:t xml:space="preserve">Quotation Estimate</w:t>
      </w:r>
    </w:p>
    <w:p>
      <w:pPr>
        <w:pStyle w:val="FirstParagraph"/>
      </w:pPr>
      <w:r>
        <w:t xml:space="preserve">Professional Academic Services — Professor Engagement</w:t>
      </w:r>
    </w:p>
    <w:p>
      <w:pPr>
        <w:pStyle w:val="BodyText"/>
      </w:pPr>
      <w:r>
        <w:t xml:space="preserve">Prepared for use in Vietnam Ho Chi Minh City</w:t>
      </w:r>
    </w:p>
    <w:p>
      <w:pPr>
        <w:pStyle w:val="BodyText"/>
      </w:pPr>
      <w:r>
        <w:t xml:space="preserve">Document Reference: QTE-HCMC-2025-0047</w:t>
      </w:r>
    </w:p>
    <w:bookmarkEnd w:id="20"/>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Quotation Date</w:t>
            </w:r>
          </w:p>
        </w:tc>
        <w:tc>
          <w:tcPr/>
          <w:p>
            <w:pPr>
              <w:pStyle w:val="Compact"/>
              <w:jc w:val="left"/>
            </w:pPr>
            <w:r>
              <w:t xml:space="preserve">June 15, 2025</w:t>
            </w:r>
          </w:p>
        </w:tc>
        <w:tc>
          <w:tcPr/>
          <w:p>
            <w:pPr>
              <w:pStyle w:val="Compact"/>
              <w:jc w:val="left"/>
            </w:pPr>
            <w:r>
              <w:t xml:space="preserve">Validity Period</w:t>
            </w:r>
          </w:p>
        </w:tc>
        <w:tc>
          <w:tcPr/>
          <w:p>
            <w:pPr>
              <w:pStyle w:val="Compact"/>
              <w:jc w:val="left"/>
            </w:pPr>
            <w:r>
              <w:t xml:space="preserve">30 days from issue date</w:t>
            </w:r>
          </w:p>
        </w:tc>
      </w:tr>
      <w:tr>
        <w:tc>
          <w:tcPr/>
          <w:p>
            <w:pPr>
              <w:pStyle w:val="Compact"/>
              <w:jc w:val="left"/>
            </w:pPr>
            <w:r>
              <w:t xml:space="preserve">Prepared By</w:t>
            </w:r>
          </w:p>
        </w:tc>
        <w:tc>
          <w:tcPr/>
          <w:p>
            <w:pPr>
              <w:pStyle w:val="Compact"/>
              <w:jc w:val="left"/>
            </w:pPr>
            <w:r>
              <w:t xml:space="preserve">Dr. Nguyen Van Minh — Academic Affairs Director</w:t>
            </w:r>
          </w:p>
        </w:tc>
        <w:tc>
          <w:tcPr/>
          <w:p>
            <w:pPr>
              <w:pStyle w:val="Compact"/>
              <w:jc w:val="left"/>
            </w:pPr>
            <w:r>
              <w:t xml:space="preserve">Currency</w:t>
            </w:r>
          </w:p>
        </w:tc>
        <w:tc>
          <w:tcPr/>
          <w:p>
            <w:pPr>
              <w:pStyle w:val="Compact"/>
              <w:jc w:val="left"/>
            </w:pPr>
            <w:r>
              <w:t xml:space="preserve">Vietnamese Dong (VND) / US Dollar (USD)</w:t>
            </w:r>
          </w:p>
        </w:tc>
      </w:tr>
      <w:tr>
        <w:tc>
          <w:tcPr/>
          <w:p>
            <w:pPr>
              <w:pStyle w:val="Compact"/>
              <w:jc w:val="left"/>
            </w:pPr>
            <w:r>
              <w:t xml:space="preserve">Client / Recipient</w:t>
            </w:r>
          </w:p>
        </w:tc>
        <w:tc>
          <w:tcPr/>
          <w:p>
            <w:pPr>
              <w:pStyle w:val="Compact"/>
              <w:jc w:val="left"/>
            </w:pPr>
            <w:r>
              <w:t xml:space="preserve">Ho Chi Minh City University of Science and Technology (HUST)</w:t>
            </w:r>
          </w:p>
        </w:tc>
        <w:tc>
          <w:tcPr/>
          <w:p>
            <w:pPr>
              <w:pStyle w:val="Compact"/>
              <w:jc w:val="left"/>
            </w:pPr>
            <w:r>
              <w:t xml:space="preserve">Location of Service</w:t>
            </w:r>
          </w:p>
        </w:tc>
        <w:tc>
          <w:tcPr/>
          <w:p>
            <w:pPr>
              <w:pStyle w:val="Compact"/>
              <w:jc w:val="left"/>
            </w:pPr>
            <w:r>
              <w:t xml:space="preserve">Vietnam Ho Chi Minh City, District 1</w:t>
            </w:r>
          </w:p>
        </w:tc>
      </w:tr>
      <w:tr>
        <w:tc>
          <w:tcPr/>
          <w:p>
            <w:pPr>
              <w:pStyle w:val="Compact"/>
              <w:jc w:val="left"/>
            </w:pPr>
            <w:r>
              <w:t xml:space="preserve">Subject</w:t>
            </w:r>
          </w:p>
        </w:tc>
        <w:tc>
          <w:tcPr>
            <w:gridSpan w:val="3"/>
          </w:tcPr>
          <w:p>
            <w:pPr>
              <w:pStyle w:val="Compact"/>
              <w:jc w:val="left"/>
            </w:pPr>
            <w:r>
              <w:t xml:space="preserve">Quotation Estimate for the Engagement of a Distinguished Professor for Academic Consulting, Research Supervision, and Guest Lecture Programs in Vietnam Ho Chi Minh City</w:t>
            </w:r>
          </w:p>
        </w:tc>
      </w:tr>
    </w:tbl>
    <w:bookmarkStart w:id="21" w:name="X0c7581080508d578c26b6d8dfd726c7e3ca5cc9"/>
    <w:p>
      <w:pPr>
        <w:pStyle w:val="Heading2"/>
      </w:pPr>
      <w:r>
        <w:t xml:space="preserve">1. Purpose and Scope of This Quotation Estimate</w:t>
      </w:r>
    </w:p>
    <w:p>
      <w:pPr>
        <w:pStyle w:val="FirstParagraph"/>
      </w:pPr>
      <w:r>
        <w:t xml:space="preserve">This</w:t>
      </w:r>
      <w:r>
        <w:t xml:space="preserve"> </w:t>
      </w:r>
      <w:r>
        <w:t xml:space="preserve">Quotation Estimate</w:t>
      </w:r>
      <w:r>
        <w:t xml:space="preserve"> </w:t>
      </w:r>
      <w:r>
        <w:t xml:space="preserve">has been prepared to provide a comprehensive and transparent financial breakdown for the professional engagement of a</w:t>
      </w:r>
      <w:r>
        <w:t xml:space="preserve"> </w:t>
      </w:r>
      <w:r>
        <w:t xml:space="preserve">Professor</w:t>
      </w:r>
      <w:r>
        <w:t xml:space="preserve"> </w:t>
      </w:r>
      <w:r>
        <w:t xml:space="preserve">to deliver academic services within the metropolitan area of</w:t>
      </w:r>
      <w:r>
        <w:t xml:space="preserve"> </w:t>
      </w:r>
      <w:r>
        <w:t xml:space="preserve">Vietnam Ho Chi Minh City</w:t>
      </w:r>
      <w:r>
        <w:t xml:space="preserve">. The scope of this engagement encompasses guest lectures, doctoral research supervision, curriculum development consulting, and peer review activities. All costs outlined in this document are specific to the operational context of Vietnam Ho Chi Minh City, taking into account local tax regulations, travel logistics, accommodation standards, and institutional protocols applicable in the region.</w:t>
      </w:r>
    </w:p>
    <w:bookmarkEnd w:id="21"/>
    <w:bookmarkStart w:id="22" w:name="itemized-cost-breakdown"/>
    <w:p>
      <w:pPr>
        <w:pStyle w:val="Heading2"/>
      </w:pPr>
      <w:r>
        <w:t xml:space="preserve">2. Itemized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Service Description</w:t>
            </w:r>
          </w:p>
        </w:tc>
        <w:tc>
          <w:tcPr/>
          <w:p>
            <w:pPr>
              <w:pStyle w:val="Compact"/>
              <w:jc w:val="left"/>
            </w:pPr>
            <w:r>
              <w:t xml:space="preserve">Duration / Quantity</w:t>
            </w:r>
          </w:p>
        </w:tc>
        <w:tc>
          <w:tcPr/>
          <w:p>
            <w:pPr>
              <w:pStyle w:val="Compact"/>
              <w:jc w:val="left"/>
            </w:pPr>
            <w:r>
              <w:t xml:space="preserve">Unit Rate (USD)</w:t>
            </w:r>
          </w:p>
        </w:tc>
        <w:tc>
          <w:tcPr/>
          <w:p>
            <w:pPr>
              <w:pStyle w:val="Compact"/>
              <w:jc w:val="left"/>
            </w:pPr>
            <w:r>
              <w:t xml:space="preserve">Subtotal (USD)</w:t>
            </w:r>
          </w:p>
        </w:tc>
        <w:tc>
          <w:tcPr/>
          <w:p>
            <w:pPr>
              <w:pStyle w:val="Compact"/>
              <w:jc w:val="left"/>
            </w:pPr>
            <w:r>
              <w:t xml:space="preserve">Subtotal (VND)</w:t>
            </w:r>
          </w:p>
        </w:tc>
      </w:tr>
      <w:tr>
        <w:tc>
          <w:tcPr/>
          <w:p>
            <w:pPr>
              <w:pStyle w:val="Compact"/>
              <w:jc w:val="left"/>
            </w:pPr>
            <w:r>
              <w:t xml:space="preserve">1</w:t>
            </w:r>
          </w:p>
        </w:tc>
        <w:tc>
          <w:tcPr/>
          <w:p>
            <w:pPr>
              <w:pStyle w:val="Compact"/>
              <w:jc w:val="left"/>
            </w:pPr>
            <w:r>
              <w:t xml:space="preserve">Professor Guest Lecture Series — Advanced Research Methodology (delivered at HUST campus, Vietnam Ho Chi Minh City)</w:t>
            </w:r>
          </w:p>
        </w:tc>
        <w:tc>
          <w:tcPr/>
          <w:p>
            <w:pPr>
              <w:pStyle w:val="Compact"/>
              <w:jc w:val="left"/>
            </w:pPr>
            <w:r>
              <w:t xml:space="preserve">10 sessions (3 hrs each)</w:t>
            </w:r>
          </w:p>
        </w:tc>
        <w:tc>
          <w:tcPr/>
          <w:p>
            <w:pPr>
              <w:pStyle w:val="Compact"/>
              <w:jc w:val="left"/>
            </w:pPr>
            <w:r>
              <w:t xml:space="preserve">$450.00</w:t>
            </w:r>
          </w:p>
        </w:tc>
        <w:tc>
          <w:tcPr/>
          <w:p>
            <w:pPr>
              <w:pStyle w:val="Compact"/>
              <w:jc w:val="left"/>
            </w:pPr>
            <w:r>
              <w:t xml:space="preserve">$4,500.00</w:t>
            </w:r>
          </w:p>
        </w:tc>
        <w:tc>
          <w:tcPr/>
          <w:p>
            <w:pPr>
              <w:pStyle w:val="Compact"/>
              <w:jc w:val="left"/>
            </w:pPr>
            <w:r>
              <w:t xml:space="preserve">115,200,000</w:t>
            </w:r>
          </w:p>
        </w:tc>
      </w:tr>
      <w:tr>
        <w:tc>
          <w:tcPr/>
          <w:p>
            <w:pPr>
              <w:pStyle w:val="Compact"/>
              <w:jc w:val="left"/>
            </w:pPr>
            <w:r>
              <w:t xml:space="preserve">2</w:t>
            </w:r>
          </w:p>
        </w:tc>
        <w:tc>
          <w:tcPr/>
          <w:p>
            <w:pPr>
              <w:pStyle w:val="Compact"/>
              <w:jc w:val="left"/>
            </w:pPr>
            <w:r>
              <w:t xml:space="preserve">Doctoral Dissertation Supervision — One-on-one mentoring for 5 PhD candidates</w:t>
            </w:r>
          </w:p>
        </w:tc>
        <w:tc>
          <w:tcPr/>
          <w:p>
            <w:pPr>
              <w:pStyle w:val="Compact"/>
              <w:jc w:val="left"/>
            </w:pPr>
            <w:r>
              <w:t xml:space="preserve">6 months</w:t>
            </w:r>
          </w:p>
        </w:tc>
        <w:tc>
          <w:tcPr/>
          <w:p>
            <w:pPr>
              <w:pStyle w:val="Compact"/>
              <w:jc w:val="left"/>
            </w:pPr>
            <w:r>
              <w:t xml:space="preserve">$1,200.00</w:t>
            </w:r>
          </w:p>
        </w:tc>
        <w:tc>
          <w:tcPr/>
          <w:p>
            <w:pPr>
              <w:pStyle w:val="Compact"/>
              <w:jc w:val="left"/>
            </w:pPr>
            <w:r>
              <w:t xml:space="preserve">$7,200.00</w:t>
            </w:r>
          </w:p>
        </w:tc>
        <w:tc>
          <w:tcPr/>
          <w:p>
            <w:pPr>
              <w:pStyle w:val="Compact"/>
              <w:jc w:val="left"/>
            </w:pPr>
            <w:r>
              <w:t xml:space="preserve">186,048,000</w:t>
            </w:r>
          </w:p>
        </w:tc>
      </w:tr>
      <w:tr>
        <w:tc>
          <w:tcPr/>
          <w:p>
            <w:pPr>
              <w:pStyle w:val="Compact"/>
              <w:jc w:val="left"/>
            </w:pPr>
            <w:r>
              <w:t xml:space="preserve">3</w:t>
            </w:r>
          </w:p>
        </w:tc>
        <w:tc>
          <w:tcPr/>
          <w:p>
            <w:pPr>
              <w:pStyle w:val="Compact"/>
              <w:jc w:val="left"/>
            </w:pPr>
            <w:r>
              <w:t xml:space="preserve">Curriculum Development &amp; Academic Program Review Consulting</w:t>
            </w:r>
          </w:p>
        </w:tc>
        <w:tc>
          <w:tcPr/>
          <w:p>
            <w:pPr>
              <w:pStyle w:val="Compact"/>
              <w:jc w:val="left"/>
            </w:pPr>
            <w:r>
              <w:t xml:space="preserve">3 weeks (on-site)</w:t>
            </w:r>
          </w:p>
        </w:tc>
        <w:tc>
          <w:tcPr/>
          <w:p>
            <w:pPr>
              <w:pStyle w:val="Compact"/>
              <w:jc w:val="left"/>
            </w:pPr>
            <w:r>
              <w:t xml:space="preserve">$800.00</w:t>
            </w:r>
          </w:p>
        </w:tc>
        <w:tc>
          <w:tcPr/>
          <w:p>
            <w:pPr>
              <w:pStyle w:val="Compact"/>
              <w:jc w:val="left"/>
            </w:pPr>
            <w:r>
              <w:t xml:space="preserve">$2,400.00</w:t>
            </w:r>
          </w:p>
        </w:tc>
        <w:tc>
          <w:tcPr/>
          <w:p>
            <w:pPr>
              <w:pStyle w:val="Compact"/>
              <w:jc w:val="left"/>
            </w:pPr>
            <w:r>
              <w:t xml:space="preserve">62,208,000</w:t>
            </w:r>
          </w:p>
        </w:tc>
      </w:tr>
      <w:tr>
        <w:tc>
          <w:tcPr/>
          <w:p>
            <w:pPr>
              <w:pStyle w:val="Compact"/>
              <w:jc w:val="left"/>
            </w:pPr>
            <w:r>
              <w:t xml:space="preserve">4</w:t>
            </w:r>
          </w:p>
        </w:tc>
        <w:tc>
          <w:tcPr/>
          <w:p>
            <w:pPr>
              <w:pStyle w:val="Compact"/>
              <w:jc w:val="left"/>
            </w:pPr>
            <w:r>
              <w:t xml:space="preserve">International Conference Keynote Address — HCMC International Academic Forum</w:t>
            </w:r>
          </w:p>
        </w:tc>
        <w:tc>
          <w:tcPr/>
          <w:p>
            <w:pPr>
              <w:pStyle w:val="Compact"/>
              <w:jc w:val="left"/>
            </w:pPr>
            <w:r>
              <w:t xml:space="preserve">1 event (2 hrs)</w:t>
            </w:r>
          </w:p>
        </w:tc>
        <w:tc>
          <w:tcPr/>
          <w:p>
            <w:pPr>
              <w:pStyle w:val="Compact"/>
              <w:jc w:val="left"/>
            </w:pPr>
            <w:r>
              <w:t xml:space="preserve">$1,500.00</w:t>
            </w:r>
          </w:p>
        </w:tc>
        <w:tc>
          <w:tcPr/>
          <w:p>
            <w:pPr>
              <w:pStyle w:val="Compact"/>
              <w:jc w:val="left"/>
            </w:pPr>
            <w:r>
              <w:t xml:space="preserve">$1,500.00</w:t>
            </w:r>
          </w:p>
        </w:tc>
        <w:tc>
          <w:tcPr/>
          <w:p>
            <w:pPr>
              <w:pStyle w:val="Compact"/>
              <w:jc w:val="left"/>
            </w:pPr>
            <w:r>
              <w:t xml:space="preserve">38,880,000</w:t>
            </w:r>
          </w:p>
        </w:tc>
      </w:tr>
      <w:tr>
        <w:tc>
          <w:tcPr/>
          <w:p>
            <w:pPr>
              <w:pStyle w:val="Compact"/>
              <w:jc w:val="left"/>
            </w:pPr>
            <w:r>
              <w:t xml:space="preserve">5</w:t>
            </w:r>
          </w:p>
        </w:tc>
        <w:tc>
          <w:tcPr/>
          <w:p>
            <w:pPr>
              <w:pStyle w:val="Compact"/>
              <w:jc w:val="left"/>
            </w:pPr>
            <w:r>
              <w:t xml:space="preserve">Peer Review &amp; Manuscript Evaluation Services (5 manuscripts)</w:t>
            </w:r>
          </w:p>
        </w:tc>
        <w:tc>
          <w:tcPr/>
          <w:p>
            <w:pPr>
              <w:pStyle w:val="Compact"/>
              <w:jc w:val="left"/>
            </w:pPr>
            <w:r>
              <w:t xml:space="preserve">5 documents</w:t>
            </w:r>
          </w:p>
        </w:tc>
        <w:tc>
          <w:tcPr/>
          <w:p>
            <w:pPr>
              <w:pStyle w:val="Compact"/>
              <w:jc w:val="left"/>
            </w:pPr>
            <w:r>
              <w:t xml:space="preserve">$300.00</w:t>
            </w:r>
          </w:p>
        </w:tc>
        <w:tc>
          <w:tcPr/>
          <w:p>
            <w:pPr>
              <w:pStyle w:val="Compact"/>
              <w:jc w:val="left"/>
            </w:pPr>
            <w:r>
              <w:t xml:space="preserve">$1,500.00</w:t>
            </w:r>
          </w:p>
        </w:tc>
        <w:tc>
          <w:tcPr/>
          <w:p>
            <w:pPr>
              <w:pStyle w:val="Compact"/>
              <w:jc w:val="left"/>
            </w:pPr>
            <w:r>
              <w:t xml:space="preserve">38,880,000</w:t>
            </w:r>
          </w:p>
        </w:tc>
      </w:tr>
      <w:tr>
        <w:tc>
          <w:tcPr/>
          <w:p>
            <w:pPr>
              <w:pStyle w:val="Compact"/>
              <w:jc w:val="left"/>
            </w:pPr>
            <w:r>
              <w:t xml:space="preserve">6</w:t>
            </w:r>
          </w:p>
        </w:tc>
        <w:tc>
          <w:tcPr/>
          <w:p>
            <w:pPr>
              <w:pStyle w:val="Compact"/>
              <w:jc w:val="left"/>
            </w:pPr>
            <w:r>
              <w:t xml:space="preserve">International Travel &amp; Accommodation (round-trip airfare, 4-star hotel in District 1, Vietnam Ho Chi Minh City, local transport)</w:t>
            </w:r>
          </w:p>
        </w:tc>
        <w:tc>
          <w:tcPr/>
          <w:p>
            <w:pPr>
              <w:pStyle w:val="Compact"/>
              <w:jc w:val="left"/>
            </w:pPr>
            <w:r>
              <w:t xml:space="preserve">45 days</w:t>
            </w:r>
          </w:p>
        </w:tc>
        <w:tc>
          <w:tcPr/>
          <w:p>
            <w:pPr>
              <w:pStyle w:val="Compact"/>
              <w:jc w:val="left"/>
            </w:pPr>
            <w:r>
              <w:t xml:space="preserve">$180.00</w:t>
            </w:r>
          </w:p>
        </w:tc>
        <w:tc>
          <w:tcPr/>
          <w:p>
            <w:pPr>
              <w:pStyle w:val="Compact"/>
              <w:jc w:val="left"/>
            </w:pPr>
            <w:r>
              <w:t xml:space="preserve">$8,100.00</w:t>
            </w:r>
          </w:p>
        </w:tc>
        <w:tc>
          <w:tcPr/>
          <w:p>
            <w:pPr>
              <w:pStyle w:val="Compact"/>
              <w:jc w:val="left"/>
            </w:pPr>
            <w:r>
              <w:t xml:space="preserve">209,952,000</w:t>
            </w:r>
          </w:p>
        </w:tc>
      </w:tr>
      <w:tr>
        <w:tc>
          <w:tcPr/>
          <w:p>
            <w:pPr>
              <w:pStyle w:val="Compact"/>
              <w:jc w:val="left"/>
            </w:pPr>
            <w:r>
              <w:t xml:space="preserve">7</w:t>
            </w:r>
          </w:p>
        </w:tc>
        <w:tc>
          <w:tcPr/>
          <w:p>
            <w:pPr>
              <w:pStyle w:val="Compact"/>
              <w:jc w:val="left"/>
            </w:pPr>
            <w:r>
              <w:t xml:space="preserve">Visa Processing, Work Permit, and Administrative Fees (Vietnam Ho Chi Minh City Immigration Office)</w:t>
            </w:r>
          </w:p>
        </w:tc>
        <w:tc>
          <w:tcPr/>
          <w:p>
            <w:pPr>
              <w:pStyle w:val="Compact"/>
              <w:jc w:val="left"/>
            </w:pPr>
            <w:r>
              <w:t xml:space="preserve">1 package</w:t>
            </w:r>
          </w:p>
        </w:tc>
        <w:tc>
          <w:tcPr/>
          <w:p>
            <w:pPr>
              <w:pStyle w:val="Compact"/>
              <w:jc w:val="left"/>
            </w:pPr>
            <w:r>
              <w:t xml:space="preserve">$650.00</w:t>
            </w:r>
          </w:p>
        </w:tc>
        <w:tc>
          <w:tcPr/>
          <w:p>
            <w:pPr>
              <w:pStyle w:val="Compact"/>
              <w:jc w:val="left"/>
            </w:pPr>
            <w:r>
              <w:t xml:space="preserve">$650.00</w:t>
            </w:r>
          </w:p>
        </w:tc>
        <w:tc>
          <w:tcPr/>
          <w:p>
            <w:pPr>
              <w:pStyle w:val="Compact"/>
              <w:jc w:val="left"/>
            </w:pPr>
            <w:r>
              <w:t xml:space="preserve">16,848,000</w:t>
            </w:r>
          </w:p>
        </w:tc>
      </w:tr>
      <w:tr>
        <w:tc>
          <w:tcPr/>
          <w:p>
            <w:pPr>
              <w:pStyle w:val="Compact"/>
              <w:jc w:val="left"/>
            </w:pPr>
            <w:r>
              <w:t xml:space="preserve">8</w:t>
            </w:r>
          </w:p>
        </w:tc>
        <w:tc>
          <w:tcPr/>
          <w:p>
            <w:pPr>
              <w:pStyle w:val="Compact"/>
              <w:jc w:val="left"/>
            </w:pPr>
            <w:r>
              <w:t xml:space="preserve">Professional Liability Insurance &amp; Medical Coverage (valid in Vietnam Ho Chi Minh City)</w:t>
            </w:r>
          </w:p>
        </w:tc>
        <w:tc>
          <w:tcPr/>
          <w:p>
            <w:pPr>
              <w:pStyle w:val="Compact"/>
              <w:jc w:val="left"/>
            </w:pPr>
            <w:r>
              <w:t xml:space="preserve">6 months</w:t>
            </w:r>
          </w:p>
        </w:tc>
        <w:tc>
          <w:tcPr/>
          <w:p>
            <w:pPr>
              <w:pStyle w:val="Compact"/>
              <w:jc w:val="left"/>
            </w:pPr>
            <w:r>
              <w:t xml:space="preserve">$420.00</w:t>
            </w:r>
          </w:p>
        </w:tc>
        <w:tc>
          <w:tcPr/>
          <w:p>
            <w:pPr>
              <w:pStyle w:val="Compact"/>
              <w:jc w:val="left"/>
            </w:pPr>
            <w:r>
              <w:t xml:space="preserve">$420.00</w:t>
            </w:r>
          </w:p>
        </w:tc>
        <w:tc>
          <w:tcPr/>
          <w:p>
            <w:pPr>
              <w:pStyle w:val="Compact"/>
              <w:jc w:val="left"/>
            </w:pPr>
            <w:r>
              <w:t xml:space="preserve">10,886,400</w:t>
            </w:r>
          </w:p>
        </w:tc>
      </w:tr>
      <w:tr>
        <w:tc>
          <w:tcPr/>
          <w:p>
            <w:pPr>
              <w:pStyle w:val="Compact"/>
              <w:jc w:val="left"/>
            </w:pPr>
            <w:r>
              <w:t xml:space="preserve">9</w:t>
            </w:r>
          </w:p>
        </w:tc>
        <w:tc>
          <w:tcPr/>
          <w:p>
            <w:pPr>
              <w:pStyle w:val="Compact"/>
              <w:jc w:val="left"/>
            </w:pPr>
            <w:r>
              <w:t xml:space="preserve">Translation &amp; Interpretation Services (English ↔ Vietnamese, on-site support)</w:t>
            </w:r>
          </w:p>
        </w:tc>
        <w:tc>
          <w:tcPr/>
          <w:p>
            <w:pPr>
              <w:pStyle w:val="Compact"/>
              <w:jc w:val="left"/>
            </w:pPr>
            <w:r>
              <w:t xml:space="preserve">45 days</w:t>
            </w:r>
          </w:p>
        </w:tc>
        <w:tc>
          <w:tcPr/>
          <w:p>
            <w:pPr>
              <w:pStyle w:val="Compact"/>
              <w:jc w:val="left"/>
            </w:pPr>
            <w:r>
              <w:t xml:space="preserve">$95.00</w:t>
            </w:r>
          </w:p>
        </w:tc>
        <w:tc>
          <w:tcPr/>
          <w:p>
            <w:pPr>
              <w:pStyle w:val="Compact"/>
              <w:jc w:val="left"/>
            </w:pPr>
            <w:r>
              <w:t xml:space="preserve">$4,275.00</w:t>
            </w:r>
          </w:p>
        </w:tc>
        <w:tc>
          <w:tcPr/>
          <w:p>
            <w:pPr>
              <w:pStyle w:val="Compact"/>
              <w:jc w:val="left"/>
            </w:pPr>
            <w:r>
              <w:t xml:space="preserve">110,700,000</w:t>
            </w:r>
          </w:p>
        </w:tc>
      </w:tr>
      <w:tr>
        <w:tc>
          <w:tcPr/>
          <w:p>
            <w:pPr>
              <w:pStyle w:val="Compact"/>
              <w:jc w:val="left"/>
            </w:pPr>
            <w:r>
              <w:t xml:space="preserve">10</w:t>
            </w:r>
          </w:p>
        </w:tc>
        <w:tc>
          <w:tcPr/>
          <w:p>
            <w:pPr>
              <w:pStyle w:val="Compact"/>
              <w:jc w:val="left"/>
            </w:pPr>
            <w:r>
              <w:t xml:space="preserve">Administrative &amp; Coordination Fee (project management, scheduling, reporting)</w:t>
            </w:r>
          </w:p>
        </w:tc>
        <w:tc>
          <w:tcPr/>
          <w:p>
            <w:pPr>
              <w:pStyle w:val="Compact"/>
              <w:jc w:val="left"/>
            </w:pPr>
            <w:r>
              <w:t xml:space="preserve">6 months</w:t>
            </w:r>
          </w:p>
        </w:tc>
        <w:tc>
          <w:tcPr/>
          <w:p>
            <w:pPr>
              <w:pStyle w:val="Compact"/>
              <w:jc w:val="left"/>
            </w:pPr>
            <w:r>
              <w:t xml:space="preserve">$500.00</w:t>
            </w:r>
          </w:p>
        </w:tc>
        <w:tc>
          <w:tcPr/>
          <w:p>
            <w:pPr>
              <w:pStyle w:val="Compact"/>
              <w:jc w:val="left"/>
            </w:pPr>
            <w:r>
              <w:t xml:space="preserve">$3,000.00</w:t>
            </w:r>
          </w:p>
        </w:tc>
        <w:tc>
          <w:tcPr/>
          <w:p>
            <w:pPr>
              <w:pStyle w:val="Compact"/>
              <w:jc w:val="left"/>
            </w:pPr>
            <w:r>
              <w:t xml:space="preserve">77,760,000</w:t>
            </w:r>
          </w:p>
        </w:tc>
      </w:tr>
      <w:tr>
        <w:tc>
          <w:tcPr>
            <w:gridSpan w:val="4"/>
          </w:tcPr>
          <w:p>
            <w:pPr>
              <w:pStyle w:val="Compact"/>
              <w:jc w:val="right"/>
            </w:pPr>
            <w:r>
              <w:t xml:space="preserve">GRAND TOTAL</w:t>
            </w:r>
          </w:p>
        </w:tc>
        <w:tc>
          <w:tcPr/>
          <w:p>
            <w:pPr>
              <w:pStyle w:val="Compact"/>
              <w:jc w:val="left"/>
            </w:pPr>
            <w:r>
              <w:t xml:space="preserve">$33,545.00</w:t>
            </w:r>
          </w:p>
        </w:tc>
        <w:tc>
          <w:tcPr/>
          <w:p>
            <w:pPr>
              <w:pStyle w:val="Compact"/>
              <w:jc w:val="left"/>
            </w:pPr>
            <w:r>
              <w:t xml:space="preserve">867,362,400</w:t>
            </w:r>
          </w:p>
        </w:tc>
      </w:tr>
    </w:tbl>
    <w:bookmarkEnd w:id="22"/>
    <w:bookmarkStart w:id="23" w:name="Xbf323b0f093bdca098e84392b306a870c64efa4"/>
    <w:p>
      <w:pPr>
        <w:pStyle w:val="Heading2"/>
      </w:pPr>
      <w:r>
        <w:t xml:space="preserve">3. Tax and Regulatory Considerations for Vietnam Ho Chi Minh City</w:t>
      </w:r>
    </w:p>
    <w:p>
      <w:pPr>
        <w:pStyle w:val="FirstParagraph"/>
      </w:pPr>
      <w:r>
        <w:t xml:space="preserve">All amounts in this</w:t>
      </w:r>
      <w:r>
        <w:t xml:space="preserve"> </w:t>
      </w:r>
      <w:r>
        <w:t xml:space="preserve">Quotation Estimate</w:t>
      </w:r>
      <w:r>
        <w:t xml:space="preserve"> </w:t>
      </w:r>
      <w:r>
        <w:t xml:space="preserve">are subject to the following local tax obligations as governed by the Vietnam Ho Chi Minh City Department of Taxation and the General Department of Vietnam Customs:</w:t>
      </w:r>
    </w:p>
    <w:p>
      <w:pPr>
        <w:numPr>
          <w:ilvl w:val="0"/>
          <w:numId w:val="1001"/>
        </w:numPr>
        <w:pStyle w:val="Compact"/>
      </w:pPr>
      <w:r>
        <w:t xml:space="preserve">VAT (Value Added Tax): 8% applicable to service fees rendered within Vietnam Ho Chi Minh City, unless exempt under bilateral tax treaties.</w:t>
      </w:r>
    </w:p>
    <w:p>
      <w:pPr>
        <w:numPr>
          <w:ilvl w:val="0"/>
          <w:numId w:val="1001"/>
        </w:numPr>
        <w:pStyle w:val="Compact"/>
      </w:pPr>
      <w:r>
        <w:t xml:space="preserve">Personal Income Tax (PIT): 20% withholding on the Professor's honorarium, in compliance with Vietnam's Circular 111/2013/TT-BTC.</w:t>
      </w:r>
    </w:p>
    <w:p>
      <w:pPr>
        <w:numPr>
          <w:ilvl w:val="0"/>
          <w:numId w:val="1001"/>
        </w:numPr>
        <w:pStyle w:val="Compact"/>
      </w:pPr>
      <w:r>
        <w:t xml:space="preserve">Withholding Tax on foreign service providers: 5% on gross revenue for non-resident entities, as stipulated under Vietnam's Law on Foreign Trade Tax.</w:t>
      </w:r>
    </w:p>
    <w:p>
      <w:pPr>
        <w:numPr>
          <w:ilvl w:val="0"/>
          <w:numId w:val="1001"/>
        </w:numPr>
        <w:pStyle w:val="Compact"/>
      </w:pPr>
      <w:r>
        <w:t xml:space="preserve">All payments exceeding 15,000,000 VND per transaction must be processed through a licensed banking institution in Vietnam Ho Chi Minh City.</w:t>
      </w:r>
    </w:p>
    <w:bookmarkEnd w:id="23"/>
    <w:bookmarkStart w:id="24" w:name="terms-and-conditions"/>
    <w:p>
      <w:pPr>
        <w:pStyle w:val="Heading2"/>
      </w:pPr>
      <w:r>
        <w:t xml:space="preserve">4. Terms and Conditions</w:t>
      </w:r>
    </w:p>
    <w:p>
      <w:pPr>
        <w:numPr>
          <w:ilvl w:val="0"/>
          <w:numId w:val="1002"/>
        </w:numPr>
        <w:pStyle w:val="Compact"/>
      </w:pPr>
      <w:r>
        <w:rPr>
          <w:bCs/>
          <w:b/>
        </w:rPr>
        <w:t xml:space="preserve">Payment Schedule:</w:t>
      </w:r>
      <w:r>
        <w:t xml:space="preserve"> </w:t>
      </w:r>
      <w:r>
        <w:t xml:space="preserve">40% advance payment upon acceptance of this Quotation Estimate; 40% upon completion of the third month of the Professor's engagement; 20% final settlement within 15 business days of project closure.</w:t>
      </w:r>
    </w:p>
    <w:p>
      <w:pPr>
        <w:numPr>
          <w:ilvl w:val="0"/>
          <w:numId w:val="1002"/>
        </w:numPr>
        <w:pStyle w:val="Compact"/>
      </w:pPr>
      <w:r>
        <w:rPr>
          <w:bCs/>
          <w:b/>
        </w:rPr>
        <w:t xml:space="preserve">Payment Method:</w:t>
      </w:r>
      <w:r>
        <w:t xml:space="preserve"> </w:t>
      </w:r>
      <w:r>
        <w:t xml:space="preserve">Bank transfer to the designated account at a commercial bank operating in Vietnam Ho Chi Minh City (e.g., Vietcombank, Techcombank, or BIDV branch in District 1).</w:t>
      </w:r>
    </w:p>
    <w:p>
      <w:pPr>
        <w:numPr>
          <w:ilvl w:val="0"/>
          <w:numId w:val="1002"/>
        </w:numPr>
        <w:pStyle w:val="Compact"/>
      </w:pPr>
      <w:r>
        <w:rPr>
          <w:bCs/>
          <w:b/>
        </w:rPr>
        <w:t xml:space="preserve">Acceptance:</w:t>
      </w:r>
      <w:r>
        <w:t xml:space="preserve"> </w:t>
      </w:r>
      <w:r>
        <w:t xml:space="preserve">This Quotation Estimate becomes a binding agreement upon written countersignature by both parties. The Professor's engagement is contingent upon successful visa and work permit approval by the Vietnam Ho Chi Minh City People's Committee.</w:t>
      </w:r>
    </w:p>
    <w:p>
      <w:pPr>
        <w:numPr>
          <w:ilvl w:val="0"/>
          <w:numId w:val="1002"/>
        </w:numPr>
        <w:pStyle w:val="Compact"/>
      </w:pPr>
      <w:r>
        <w:rPr>
          <w:bCs/>
          <w:b/>
        </w:rPr>
        <w:t xml:space="preserve">Force Majeure:</w:t>
      </w:r>
      <w:r>
        <w:t xml:space="preserve"> </w:t>
      </w:r>
      <w:r>
        <w:t xml:space="preserve">Neither party shall be liable for delays caused by natural disasters, government-mandated closures, or public health emergencies affecting operations in Vietnam Ho Chi Minh City.</w:t>
      </w:r>
    </w:p>
    <w:p>
      <w:pPr>
        <w:numPr>
          <w:ilvl w:val="0"/>
          <w:numId w:val="1002"/>
        </w:numPr>
        <w:pStyle w:val="Compact"/>
      </w:pPr>
      <w:r>
        <w:rPr>
          <w:bCs/>
          <w:b/>
        </w:rPr>
        <w:t xml:space="preserve">Intellectual Property:</w:t>
      </w:r>
      <w:r>
        <w:t xml:space="preserve"> </w:t>
      </w:r>
      <w:r>
        <w:t xml:space="preserve">All research outputs, lecture materials, and curriculum documents produced during the Professor's tenure shall be jointly owned by the Professor and the host institution, as detailed in a separate IP addendum.</w:t>
      </w:r>
    </w:p>
    <w:p>
      <w:pPr>
        <w:numPr>
          <w:ilvl w:val="0"/>
          <w:numId w:val="1002"/>
        </w:numPr>
        <w:pStyle w:val="Compact"/>
      </w:pPr>
      <w:r>
        <w:rPr>
          <w:bCs/>
          <w:b/>
        </w:rPr>
        <w:t xml:space="preserve">Dispute Resolution:</w:t>
      </w:r>
      <w:r>
        <w:t xml:space="preserve"> </w:t>
      </w:r>
      <w:r>
        <w:t xml:space="preserve">Any disputes arising from this Quotation Estimate shall be resolved through arbitration under the Vietnam International Arbitration Centre (VIAC) located in Hanoi, with proceedings conducted in English.</w:t>
      </w:r>
    </w:p>
    <w:p>
      <w:pPr>
        <w:numPr>
          <w:ilvl w:val="0"/>
          <w:numId w:val="1002"/>
        </w:numPr>
        <w:pStyle w:val="Compact"/>
      </w:pPr>
      <w:r>
        <w:rPr>
          <w:bCs/>
          <w:b/>
        </w:rPr>
        <w:t xml:space="preserve">Confidentiality:</w:t>
      </w:r>
      <w:r>
        <w:t xml:space="preserve"> </w:t>
      </w:r>
      <w:r>
        <w:t xml:space="preserve">Both parties agree to maintain strict confidentiality regarding the financial terms, research data, and proprietary academic materials exchanged during the engagement period in Vietnam Ho Chi Minh City.</w:t>
      </w:r>
    </w:p>
    <w:p>
      <w:pPr>
        <w:pStyle w:val="FirstParagraph"/>
      </w:pPr>
      <w:r>
        <w:rPr>
          <w:bCs/>
          <w:b/>
        </w:rPr>
        <w:t xml:space="preserve">Important Note:</w:t>
      </w:r>
      <w:r>
        <w:t xml:space="preserve"> </w:t>
      </w:r>
      <w:r>
        <w:t xml:space="preserve">This Quotation Estimate is valid for 30 calendar days from the date of issue. Exchange rates used for VND conversion are based on the State Bank of Vietnam's reference rate as of June 15, 2025 (1 USD = 25,700 VND). Any fluctuation exceeding 3% during the validity period may necessitate a revised Quotation Estimate. The Professor's specific academic credentials, publication record, and area of specialization will be provided in a supplementary annex attached to the final contract.</w:t>
      </w:r>
    </w:p>
    <w:bookmarkEnd w:id="24"/>
    <w:bookmarkStart w:id="25" w:name="acceptance-and-authorization"/>
    <w:p>
      <w:pPr>
        <w:pStyle w:val="Heading2"/>
      </w:pPr>
      <w:r>
        <w:t xml:space="preserve">5. Acceptance and Authorization</w:t>
      </w:r>
    </w:p>
    <w:p>
      <w:pPr>
        <w:pStyle w:val="FirstParagraph"/>
      </w:pPr>
      <w:r>
        <w:t xml:space="preserve">By signing below, both parties acknowledge that this</w:t>
      </w:r>
      <w:r>
        <w:t xml:space="preserve"> </w:t>
      </w:r>
      <w:r>
        <w:t xml:space="preserve">Quotation Estimate</w:t>
      </w:r>
      <w:r>
        <w:t xml:space="preserve"> </w:t>
      </w:r>
      <w:r>
        <w:t xml:space="preserve">accurately reflects the agreed-upon terms for the engagement of the</w:t>
      </w:r>
      <w:r>
        <w:t xml:space="preserve"> </w:t>
      </w:r>
      <w:r>
        <w:t xml:space="preserve">Professor</w:t>
      </w:r>
      <w:r>
        <w:t xml:space="preserve"> </w:t>
      </w:r>
      <w:r>
        <w:t xml:space="preserve">and that all services will be delivered in accordance with the standards and regulations applicable in</w:t>
      </w:r>
      <w:r>
        <w:t xml:space="preserve"> </w:t>
      </w:r>
      <w:r>
        <w:t xml:space="preserve">Vietnam Ho Chi Minh City</w:t>
      </w:r>
      <w:r>
        <w:t xml:space="preserve">.</w:t>
      </w:r>
    </w:p>
    <w:p>
      <w:pPr>
        <w:pStyle w:val="BodyText"/>
      </w:pPr>
      <w:r>
        <w:t xml:space="preserve">For the Service Provider</w:t>
      </w:r>
    </w:p>
    <w:p>
      <w:pPr>
        <w:pStyle w:val="BodyText"/>
      </w:pPr>
      <w:r>
        <w:t xml:space="preserve">Dr. Nguyen Van Minh</w:t>
      </w:r>
      <w:r>
        <w:br/>
      </w:r>
      <w:r>
        <w:t xml:space="preserve">Academic Affairs Director</w:t>
      </w:r>
      <w:r>
        <w:br/>
      </w:r>
      <w:r>
        <w:t xml:space="preserve">International Faculty Consulting Group</w:t>
      </w:r>
    </w:p>
    <w:p>
      <w:pPr>
        <w:pStyle w:val="BodyText"/>
      </w:pPr>
      <w:r>
        <w:t xml:space="preserve">Signature &amp; Date</w:t>
      </w:r>
    </w:p>
    <w:p>
      <w:pPr>
        <w:pStyle w:val="BodyText"/>
      </w:pPr>
      <w:r>
        <w:t xml:space="preserve">For the Client / Institution</w:t>
      </w:r>
    </w:p>
    <w:p>
      <w:pPr>
        <w:pStyle w:val="BodyText"/>
      </w:pPr>
      <w:r>
        <w:t xml:space="preserve">Authorized Representative</w:t>
      </w:r>
      <w:r>
        <w:br/>
      </w:r>
      <w:r>
        <w:t xml:space="preserve">Ho Chi Minh City University of Science and Technology</w:t>
      </w:r>
      <w:r>
        <w:br/>
      </w:r>
      <w:r>
        <w:t xml:space="preserve">District 1, Vietnam Ho Chi Minh City</w:t>
      </w:r>
    </w:p>
    <w:p>
      <w:pPr>
        <w:pStyle w:val="BodyText"/>
      </w:pPr>
      <w:r>
        <w:t xml:space="preserve">Signature &amp; Date</w:t>
      </w:r>
    </w:p>
    <w:p>
      <w:pPr>
        <w:pStyle w:val="BodyText"/>
      </w:pPr>
      <w:r>
        <w:t xml:space="preserve">Quotation Estimate QTE-HCMC-2025-0047 | Professor Academic Engagement | Vietnam Ho Chi Minh City</w:t>
      </w:r>
    </w:p>
    <w:p>
      <w:pPr>
        <w:pStyle w:val="BodyText"/>
      </w:pPr>
      <w:r>
        <w:t xml:space="preserve">This document is generated for official use and is subject to verification by the issuing authority. Page 1 of 1.</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Professor Services - Vietnam Ho Chi Minh City</dc:title>
  <dc:creator/>
  <dc:language>en</dc:language>
  <cp:keywords/>
  <dcterms:created xsi:type="dcterms:W3CDTF">2026-10-10T07:04:34Z</dcterms:created>
  <dcterms:modified xsi:type="dcterms:W3CDTF">2026-10-10T07:04:34Z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content-width, initial-scale=1.0</vt:lpwstr>
  </property>
</Properties>
</file>