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rPr>
          <w:bCs/>
          <w:b/>
        </w:rPr>
        <w:t xml:space="preserve">Argentina Buenos Aires</w:t>
      </w:r>
      <w:r>
        <w:t xml:space="preserve"> </w:t>
      </w:r>
      <w:r>
        <w:t xml:space="preserve">| Valid for 30 days from issue date</w:t>
      </w:r>
    </w:p>
    <w:p>
      <w:pPr>
        <w:pStyle w:val="BodyText"/>
      </w:pPr>
      <w:r>
        <w:t xml:space="preserve">QTE-2025-BA-0047</w:t>
      </w:r>
    </w:p>
    <w:bookmarkEnd w:id="20"/>
    <w:p>
      <w:pPr>
        <w:pStyle w:val="BodyText"/>
      </w:pPr>
      <w:r>
        <w:rPr>
          <w:bCs/>
          <w:b/>
        </w:rPr>
        <w:t xml:space="preserve">Issued By:</w:t>
      </w:r>
      <w:r>
        <w:br/>
      </w:r>
      <w:r>
        <w:t xml:space="preserve">Meridian Consulting Group S.A.</w:t>
      </w:r>
      <w:r>
        <w:br/>
      </w:r>
      <w:r>
        <w:t xml:space="preserve">Av. Corrientes 1234, Piso 8</w:t>
      </w:r>
      <w:r>
        <w:br/>
      </w:r>
      <w:r>
        <w:t xml:space="preserve">Buenos Aires, C1043AAE, Argentina</w:t>
      </w:r>
      <w:r>
        <w:br/>
      </w:r>
      <w:r>
        <w:t xml:space="preserve">CUIT: 30-71234567-8</w:t>
      </w:r>
      <w:r>
        <w:br/>
      </w:r>
      <w:r>
        <w:t xml:space="preserve">Email: estimates@meridianconsulting.ar</w:t>
      </w:r>
    </w:p>
    <w:p>
      <w:pPr>
        <w:pStyle w:val="BodyText"/>
      </w:pPr>
      <w:r>
        <w:rPr>
          <w:bCs/>
          <w:b/>
        </w:rPr>
        <w:t xml:space="preserve">Date of Issue:</w:t>
      </w:r>
      <w:r>
        <w:t xml:space="preserve"> </w:t>
      </w:r>
      <w:r>
        <w:t xml:space="preserve">15 June 2025</w:t>
      </w:r>
      <w:r>
        <w:br/>
      </w:r>
      <w:r>
        <w:rPr>
          <w:bCs/>
          <w:b/>
        </w:rPr>
        <w:t xml:space="preserve">Quotation Estimate No.:</w:t>
      </w:r>
      <w:r>
        <w:t xml:space="preserve"> </w:t>
      </w:r>
      <w:r>
        <w:t xml:space="preserve">QTE-2025-BA-0047</w:t>
      </w:r>
      <w:r>
        <w:br/>
      </w:r>
      <w:r>
        <w:rPr>
          <w:bCs/>
          <w:b/>
        </w:rPr>
        <w:t xml:space="preserve">Prepared For:</w:t>
      </w:r>
      <w:r>
        <w:t xml:space="preserve"> </w:t>
      </w:r>
      <w:r>
        <w:t xml:space="preserve">[Client Name / Company]</w:t>
      </w:r>
      <w:r>
        <w:br/>
      </w:r>
      <w:r>
        <w:rPr>
          <w:bCs/>
          <w:b/>
        </w:rPr>
        <w:t xml:space="preserve">Project Reference:</w:t>
      </w:r>
      <w:r>
        <w:t xml:space="preserve"> </w:t>
      </w:r>
      <w:r>
        <w:t xml:space="preserve">PM-BA-2025-019</w:t>
      </w:r>
    </w:p>
    <w:bookmarkStart w:id="21" w:name="purpose-of-this-quotation-estimate"/>
    <w:p>
      <w:pPr>
        <w:pStyle w:val="Heading2"/>
      </w:pPr>
      <w:r>
        <w:t xml:space="preserve">1. Purpose of This Quotation Estimate</w:t>
      </w:r>
    </w:p>
    <w:p>
      <w:pPr>
        <w:pStyle w:val="FirstParagraph"/>
      </w:pPr>
      <w:r>
        <w:t xml:space="preserve">This Quotation Estimate is formally issued by Meridian Consulting Group S.A. to provide a comprehensive and transparent cost breakdown for the engagement of a dedicated</w:t>
      </w:r>
      <w:r>
        <w:t xml:space="preserve"> </w:t>
      </w:r>
      <w:r>
        <w:rPr>
          <w:bCs/>
          <w:b/>
        </w:rPr>
        <w:t xml:space="preserve">Project Manager</w:t>
      </w:r>
      <w:r>
        <w:t xml:space="preserve"> </w:t>
      </w:r>
      <w:r>
        <w:t xml:space="preserve">to oversee and deliver the client's initiative within the</w:t>
      </w:r>
      <w:r>
        <w:t xml:space="preserve"> </w:t>
      </w:r>
      <w:r>
        <w:rPr>
          <w:bCs/>
          <w:b/>
        </w:rPr>
        <w:t xml:space="preserve">Argentina Buenos Aires</w:t>
      </w:r>
      <w:r>
        <w:t xml:space="preserve"> </w:t>
      </w:r>
      <w:r>
        <w:t xml:space="preserve">metropolitan area. This document serves as a binding proposal for pricing, scope, and delivery terms. All figures presented herein are denominated in Argentine Pesos (ARS) unless otherwise specified, and are subject to the standard commercial terms outlined in Section 7 of this Quotation Estimate.</w:t>
      </w:r>
    </w:p>
    <w:bookmarkEnd w:id="21"/>
    <w:bookmarkStart w:id="22" w:name="X98d2de802d335042e5d503f69772bbc81a70d17"/>
    <w:p>
      <w:pPr>
        <w:pStyle w:val="Heading2"/>
      </w:pPr>
      <w:r>
        <w:t xml:space="preserve">2. Scope of Services – Project Manager Engagement</w:t>
      </w:r>
    </w:p>
    <w:p>
      <w:pPr>
        <w:pStyle w:val="FirstParagraph"/>
      </w:pPr>
      <w:r>
        <w:t xml:space="preserve">The</w:t>
      </w:r>
      <w:r>
        <w:t xml:space="preserve"> </w:t>
      </w:r>
      <w:r>
        <w:rPr>
          <w:bCs/>
          <w:b/>
        </w:rPr>
        <w:t xml:space="preserve">Project Manager</w:t>
      </w:r>
      <w:r>
        <w:t xml:space="preserve"> </w:t>
      </w:r>
      <w:r>
        <w:t xml:space="preserve">assigned under this Quotation Estimate will be responsible for the full lifecycle management of the client's project, operating primarily out of our offices in</w:t>
      </w:r>
      <w:r>
        <w:t xml:space="preserve"> </w:t>
      </w:r>
      <w:r>
        <w:rPr>
          <w:bCs/>
          <w:b/>
        </w:rPr>
        <w:t xml:space="preserve">Argentina Buenos Aires</w:t>
      </w:r>
      <w:r>
        <w:t xml:space="preserve"> </w:t>
      </w:r>
      <w:r>
        <w:t xml:space="preserve">(Microcentro district) with the flexibility to conduct on-site visits at the client's premises within the Greater Buenos Aires area. The scope encompasses the following deliverables and responsibilities:</w:t>
      </w:r>
    </w:p>
    <w:p>
      <w:pPr>
        <w:numPr>
          <w:ilvl w:val="0"/>
          <w:numId w:val="1001"/>
        </w:numPr>
        <w:pStyle w:val="Compact"/>
      </w:pPr>
      <w:r>
        <w:rPr>
          <w:bCs/>
          <w:b/>
        </w:rPr>
        <w:t xml:space="preserve">Project Planning &amp; Scheduling:</w:t>
      </w:r>
      <w:r>
        <w:t xml:space="preserve"> </w:t>
      </w:r>
      <w:r>
        <w:t xml:space="preserve">Development of detailed work breakdown structures (WBS), Gantt charts, milestone trackers, and resource allocation plans tailored to the project's specific objectives.</w:t>
      </w:r>
    </w:p>
    <w:p>
      <w:pPr>
        <w:numPr>
          <w:ilvl w:val="0"/>
          <w:numId w:val="1001"/>
        </w:numPr>
        <w:pStyle w:val="Compact"/>
      </w:pPr>
      <w:r>
        <w:rPr>
          <w:bCs/>
          <w:b/>
        </w:rPr>
        <w:t xml:space="preserve">Stakeholder Management:</w:t>
      </w:r>
      <w:r>
        <w:t xml:space="preserve"> </w:t>
      </w:r>
      <w:r>
        <w:t xml:space="preserve">Facilitation of weekly and bi-weekly coordination meetings with all relevant parties, including internal teams, external vendors, and regulatory bodies operating within</w:t>
      </w:r>
      <w:r>
        <w:t xml:space="preserve"> </w:t>
      </w:r>
      <w:r>
        <w:rPr>
          <w:bCs/>
          <w:b/>
        </w:rPr>
        <w:t xml:space="preserve">Argentina Buenos Aires</w:t>
      </w:r>
      <w:r>
        <w:t xml:space="preserve">.</w:t>
      </w:r>
    </w:p>
    <w:p>
      <w:pPr>
        <w:numPr>
          <w:ilvl w:val="0"/>
          <w:numId w:val="1001"/>
        </w:numPr>
        <w:pStyle w:val="Compact"/>
      </w:pPr>
      <w:r>
        <w:rPr>
          <w:bCs/>
          <w:b/>
        </w:rPr>
        <w:t xml:space="preserve">Budget Oversight:</w:t>
      </w:r>
      <w:r>
        <w:t xml:space="preserve"> </w:t>
      </w:r>
      <w:r>
        <w:t xml:space="preserve">Continuous monitoring of project expenditures, variance analysis, and forecasting to ensure the project remains within the approved budget envelope.</w:t>
      </w:r>
    </w:p>
    <w:p>
      <w:pPr>
        <w:numPr>
          <w:ilvl w:val="0"/>
          <w:numId w:val="1001"/>
        </w:numPr>
        <w:pStyle w:val="Compact"/>
      </w:pPr>
      <w:r>
        <w:rPr>
          <w:bCs/>
          <w:b/>
        </w:rPr>
        <w:t xml:space="preserve">Risk &amp; Issue Management:</w:t>
      </w:r>
      <w:r>
        <w:t xml:space="preserve"> </w:t>
      </w:r>
      <w:r>
        <w:t xml:space="preserve">Identification, assessment, and mitigation of risks specific to the Argentine regulatory and operational environment, including currency fluctuation impacts and local compliance requirements.</w:t>
      </w:r>
    </w:p>
    <w:p>
      <w:pPr>
        <w:numPr>
          <w:ilvl w:val="0"/>
          <w:numId w:val="1001"/>
        </w:numPr>
        <w:pStyle w:val="Compact"/>
      </w:pPr>
      <w:r>
        <w:rPr>
          <w:bCs/>
          <w:b/>
        </w:rPr>
        <w:t xml:space="preserve">Quality Assurance:</w:t>
      </w:r>
      <w:r>
        <w:t xml:space="preserve"> </w:t>
      </w:r>
      <w:r>
        <w:t xml:space="preserve">Implementation of quality gates, review checkpoints, and acceptance criteria to guarantee deliverables meet the agreed-upon standards.</w:t>
      </w:r>
    </w:p>
    <w:p>
      <w:pPr>
        <w:numPr>
          <w:ilvl w:val="0"/>
          <w:numId w:val="1001"/>
        </w:numPr>
        <w:pStyle w:val="Compact"/>
      </w:pPr>
      <w:r>
        <w:rPr>
          <w:bCs/>
          <w:b/>
        </w:rPr>
        <w:t xml:space="preserve">Reporting &amp; Communication:</w:t>
      </w:r>
      <w:r>
        <w:t xml:space="preserve"> </w:t>
      </w:r>
      <w:r>
        <w:t xml:space="preserve">Production of weekly status reports, monthly executive summaries, and ad-hoc communications as required by the client's governance framework.</w:t>
      </w:r>
    </w:p>
    <w:p>
      <w:pPr>
        <w:numPr>
          <w:ilvl w:val="0"/>
          <w:numId w:val="1001"/>
        </w:numPr>
        <w:pStyle w:val="Compact"/>
      </w:pPr>
      <w:r>
        <w:rPr>
          <w:bCs/>
          <w:b/>
        </w:rPr>
        <w:t xml:space="preserve">Vendor &amp; Contractor Coordination:</w:t>
      </w:r>
      <w:r>
        <w:t xml:space="preserve"> </w:t>
      </w:r>
      <w:r>
        <w:t xml:space="preserve">Management of third-party contracts, performance evaluations, and dispute resolution for subcontractors engaged in the</w:t>
      </w:r>
      <w:r>
        <w:t xml:space="preserve"> </w:t>
      </w:r>
      <w:r>
        <w:rPr>
          <w:bCs/>
          <w:b/>
        </w:rPr>
        <w:t xml:space="preserve">Argentina Buenos Aires</w:t>
      </w:r>
      <w:r>
        <w:t xml:space="preserve"> </w:t>
      </w:r>
      <w:r>
        <w:t xml:space="preserve">project site.</w:t>
      </w:r>
    </w:p>
    <w:p>
      <w:pPr>
        <w:numPr>
          <w:ilvl w:val="0"/>
          <w:numId w:val="1001"/>
        </w:numPr>
        <w:pStyle w:val="Compact"/>
      </w:pPr>
      <w:r>
        <w:rPr>
          <w:bCs/>
          <w:b/>
        </w:rPr>
        <w:t xml:space="preserve">Closeout &amp; Handover:</w:t>
      </w:r>
      <w:r>
        <w:t xml:space="preserve"> </w:t>
      </w:r>
      <w:r>
        <w:t xml:space="preserve">Final documentation, lessons-learned workshops, and formal project closure in accordance with industry best practices.</w:t>
      </w:r>
    </w:p>
    <w:bookmarkEnd w:id="22"/>
    <w:bookmarkStart w:id="23" w:name="duration-phasing"/>
    <w:p>
      <w:pPr>
        <w:pStyle w:val="Heading2"/>
      </w:pPr>
      <w:r>
        <w:t xml:space="preserve">3. Duration &amp; Phasing</w:t>
      </w:r>
    </w:p>
    <w:p>
      <w:pPr>
        <w:pStyle w:val="FirstParagraph"/>
      </w:pPr>
      <w:r>
        <w:t xml:space="preserve">The</w:t>
      </w:r>
      <w:r>
        <w:t xml:space="preserve"> </w:t>
      </w:r>
      <w:r>
        <w:rPr>
          <w:bCs/>
          <w:b/>
        </w:rPr>
        <w:t xml:space="preserve">Project Manager</w:t>
      </w:r>
      <w:r>
        <w:t xml:space="preserve"> </w:t>
      </w:r>
      <w:r>
        <w:t xml:space="preserve">engagement under this Quotation Estimate is structured across three phases, with a total estimated duration of</w:t>
      </w:r>
      <w:r>
        <w:t xml:space="preserve"> </w:t>
      </w:r>
      <w:r>
        <w:rPr>
          <w:bCs/>
          <w:b/>
        </w:rPr>
        <w:t xml:space="preserve">12 months</w:t>
      </w:r>
      <w:r>
        <w:t xml:space="preserve"> </w:t>
      </w:r>
      <w:r>
        <w:t xml:space="preserve">commencing from the date of contract execution: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Estimated Effort</w:t>
            </w:r>
          </w:p>
        </w:tc>
      </w:tr>
      <w:tr>
        <w:tc>
          <w:tcPr/>
          <w:p>
            <w:pPr>
              <w:pStyle w:val="Compact"/>
              <w:jc w:val="left"/>
            </w:pPr>
            <w:r>
              <w:t xml:space="preserve">Phase 1 – Initiation &amp; Planning</w:t>
            </w:r>
          </w:p>
        </w:tc>
        <w:tc>
          <w:tcPr/>
          <w:p>
            <w:pPr>
              <w:pStyle w:val="Compact"/>
              <w:jc w:val="left"/>
            </w:pPr>
            <w:r>
              <w:t xml:space="preserve">Project charter, stakeholder mapping, baseline schedule, and risk register development</w:t>
            </w:r>
          </w:p>
        </w:tc>
        <w:tc>
          <w:tcPr/>
          <w:p>
            <w:pPr>
              <w:pStyle w:val="Compact"/>
              <w:jc w:val="left"/>
            </w:pPr>
            <w:r>
              <w:t xml:space="preserve">Months 1–2</w:t>
            </w:r>
          </w:p>
        </w:tc>
        <w:tc>
          <w:tcPr/>
          <w:p>
            <w:pPr>
              <w:pStyle w:val="Compact"/>
              <w:jc w:val="left"/>
            </w:pPr>
            <w:r>
              <w:t xml:space="preserve">40 hours/week</w:t>
            </w:r>
          </w:p>
        </w:tc>
      </w:tr>
      <w:tr>
        <w:tc>
          <w:tcPr/>
          <w:p>
            <w:pPr>
              <w:pStyle w:val="Compact"/>
              <w:jc w:val="left"/>
            </w:pPr>
            <w:r>
              <w:t xml:space="preserve">Phase 2 – Execution &amp; Monitoring</w:t>
            </w:r>
          </w:p>
        </w:tc>
        <w:tc>
          <w:tcPr/>
          <w:p>
            <w:pPr>
              <w:pStyle w:val="Compact"/>
              <w:jc w:val="left"/>
            </w:pPr>
            <w:r>
              <w:t xml:space="preserve">Active project delivery, vendor management, quality control, and progress tracking</w:t>
            </w:r>
          </w:p>
        </w:tc>
        <w:tc>
          <w:tcPr/>
          <w:p>
            <w:pPr>
              <w:pStyle w:val="Compact"/>
              <w:jc w:val="left"/>
            </w:pPr>
            <w:r>
              <w:t xml:space="preserve">Months 3–10</w:t>
            </w:r>
          </w:p>
        </w:tc>
        <w:tc>
          <w:tcPr/>
          <w:p>
            <w:pPr>
              <w:pStyle w:val="Compact"/>
              <w:jc w:val="left"/>
            </w:pPr>
            <w:r>
              <w:t xml:space="preserve">45 hours/week</w:t>
            </w:r>
          </w:p>
        </w:tc>
      </w:tr>
      <w:tr>
        <w:tc>
          <w:tcPr/>
          <w:p>
            <w:pPr>
              <w:pStyle w:val="Compact"/>
              <w:jc w:val="left"/>
            </w:pPr>
            <w:r>
              <w:t xml:space="preserve">Phase 3 – Closure &amp; Handover</w:t>
            </w:r>
          </w:p>
        </w:tc>
        <w:tc>
          <w:tcPr/>
          <w:p>
            <w:pPr>
              <w:pStyle w:val="Compact"/>
              <w:jc w:val="left"/>
            </w:pPr>
            <w:r>
              <w:t xml:space="preserve">Final inspections, documentation, client training, and formal sign-off</w:t>
            </w:r>
          </w:p>
        </w:tc>
        <w:tc>
          <w:tcPr/>
          <w:p>
            <w:pPr>
              <w:pStyle w:val="Compact"/>
              <w:jc w:val="left"/>
            </w:pPr>
            <w:r>
              <w:t xml:space="preserve">Months 11–12</w:t>
            </w:r>
          </w:p>
        </w:tc>
        <w:tc>
          <w:tcPr/>
          <w:p>
            <w:pPr>
              <w:pStyle w:val="Compact"/>
              <w:jc w:val="left"/>
            </w:pPr>
            <w:r>
              <w:t xml:space="preserve">30 hours/week</w:t>
            </w:r>
          </w:p>
        </w:tc>
      </w:tr>
    </w:tbl>
    <w:bookmarkEnd w:id="23"/>
    <w:bookmarkStart w:id="24" w:name="financial-breakdown-quotation-estimate"/>
    <w:p>
      <w:pPr>
        <w:pStyle w:val="Heading2"/>
      </w:pPr>
      <w:r>
        <w:t xml:space="preserve">4. Financial Breakdown – Quotation Estimate</w:t>
      </w:r>
    </w:p>
    <w:p>
      <w:pPr>
        <w:pStyle w:val="FirstParagraph"/>
      </w:pPr>
      <w:r>
        <w:t xml:space="preserve">The following table presents the itemized cost structure for the</w:t>
      </w:r>
      <w:r>
        <w:t xml:space="preserve"> </w:t>
      </w:r>
      <w:r>
        <w:rPr>
          <w:bCs/>
          <w:b/>
        </w:rPr>
        <w:t xml:space="preserve">Project Manager</w:t>
      </w:r>
      <w:r>
        <w:t xml:space="preserve"> </w:t>
      </w:r>
      <w:r>
        <w:t xml:space="preserve">services as detailed in this Quotation Estimate. All amounts are in Argentine Pesos (ARS) and include applicable IVA (Impuesto al Valor Agregado) at the current rate of 21% as mandated by the Argentine Federal Administration of Public Revenue (AFIP).</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Senior Project Manager – Monthly Professional Fee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2</w:t>
            </w:r>
          </w:p>
        </w:tc>
        <w:tc>
          <w:tcPr/>
          <w:p>
            <w:pPr>
              <w:pStyle w:val="Compact"/>
              <w:jc w:val="left"/>
            </w:pPr>
            <w:r>
              <w:t xml:space="preserve">Project Planning &amp; Scheduling Software License (annual)</w:t>
            </w:r>
          </w:p>
        </w:tc>
        <w:tc>
          <w:tcPr/>
          <w:p>
            <w:pPr>
              <w:pStyle w:val="Compact"/>
              <w:jc w:val="left"/>
            </w:pPr>
            <w:r>
              <w:t xml:space="preserve">License</w:t>
            </w:r>
          </w:p>
        </w:tc>
        <w:tc>
          <w:tcPr/>
          <w:p>
            <w:pPr>
              <w:pStyle w:val="Compact"/>
              <w:jc w:val="left"/>
            </w:pPr>
            <w:r>
              <w:t xml:space="preserve">1</w:t>
            </w:r>
          </w:p>
        </w:tc>
        <w:tc>
          <w:tcPr/>
          <w:p>
            <w:pPr>
              <w:pStyle w:val="Compact"/>
              <w:jc w:val="left"/>
            </w:pPr>
            <w:r>
              <w:t xml:space="preserve">128,000</w:t>
            </w:r>
          </w:p>
        </w:tc>
        <w:tc>
          <w:tcPr/>
          <w:p>
            <w:pPr>
              <w:pStyle w:val="Compact"/>
              <w:jc w:val="left"/>
            </w:pPr>
            <w:r>
              <w:t xml:space="preserve">128,000</w:t>
            </w:r>
          </w:p>
        </w:tc>
      </w:tr>
      <w:tr>
        <w:tc>
          <w:tcPr/>
          <w:p>
            <w:pPr>
              <w:pStyle w:val="Compact"/>
              <w:jc w:val="left"/>
            </w:pPr>
            <w:r>
              <w:t xml:space="preserve">3</w:t>
            </w:r>
          </w:p>
        </w:tc>
        <w:tc>
          <w:tcPr/>
          <w:p>
            <w:pPr>
              <w:pStyle w:val="Compact"/>
              <w:jc w:val="left"/>
            </w:pPr>
            <w:r>
              <w:t xml:space="preserve">On-Site Visits – Greater Buenos Aires (estimated)</w:t>
            </w:r>
          </w:p>
        </w:tc>
        <w:tc>
          <w:tcPr/>
          <w:p>
            <w:pPr>
              <w:pStyle w:val="Compact"/>
              <w:jc w:val="left"/>
            </w:pPr>
            <w:r>
              <w:t xml:space="preserve">Visit</w:t>
            </w:r>
          </w:p>
        </w:tc>
        <w:tc>
          <w:tcPr/>
          <w:p>
            <w:pPr>
              <w:pStyle w:val="Compact"/>
              <w:jc w:val="left"/>
            </w:pPr>
            <w:r>
              <w:t xml:space="preserve">48</w:t>
            </w:r>
          </w:p>
        </w:tc>
        <w:tc>
          <w:tcPr/>
          <w:p>
            <w:pPr>
              <w:pStyle w:val="Compact"/>
              <w:jc w:val="left"/>
            </w:pPr>
            <w:r>
              <w:t xml:space="preserve">12,500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Stakeholder Workshop Facilitation (4 sessions)</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5</w:t>
            </w:r>
          </w:p>
        </w:tc>
        <w:tc>
          <w:tcPr/>
          <w:p>
            <w:pPr>
              <w:pStyle w:val="Compact"/>
              <w:jc w:val="left"/>
            </w:pPr>
            <w:r>
              <w:t xml:space="preserve">Regulatory Compliance Advisory – Local (Argentina Buenos Aires)</w:t>
            </w:r>
          </w:p>
        </w:tc>
        <w:tc>
          <w:tcPr/>
          <w:p>
            <w:pPr>
              <w:pStyle w:val="Compact"/>
              <w:jc w:val="left"/>
            </w:pPr>
            <w:r>
              <w:t xml:space="preserve">Hour</w:t>
            </w:r>
          </w:p>
        </w:tc>
        <w:tc>
          <w:tcPr/>
          <w:p>
            <w:pPr>
              <w:pStyle w:val="Compact"/>
              <w:jc w:val="left"/>
            </w:pPr>
            <w:r>
              <w:t xml:space="preserve">60</w:t>
            </w:r>
          </w:p>
        </w:tc>
        <w:tc>
          <w:tcPr/>
          <w:p>
            <w:pPr>
              <w:pStyle w:val="Compact"/>
              <w:jc w:val="left"/>
            </w:pPr>
            <w:r>
              <w:t xml:space="preserve">18,000</w:t>
            </w:r>
          </w:p>
        </w:tc>
        <w:tc>
          <w:tcPr/>
          <w:p>
            <w:pPr>
              <w:pStyle w:val="Compact"/>
              <w:jc w:val="left"/>
            </w:pPr>
            <w:r>
              <w:t xml:space="preserve">1,080,000</w:t>
            </w:r>
          </w:p>
        </w:tc>
      </w:tr>
      <w:tr>
        <w:tc>
          <w:tcPr/>
          <w:p>
            <w:pPr>
              <w:pStyle w:val="Compact"/>
              <w:jc w:val="left"/>
            </w:pPr>
            <w:r>
              <w:t xml:space="preserve">6</w:t>
            </w:r>
          </w:p>
        </w:tc>
        <w:tc>
          <w:tcPr/>
          <w:p>
            <w:pPr>
              <w:pStyle w:val="Compact"/>
              <w:jc w:val="left"/>
            </w:pPr>
            <w:r>
              <w:t xml:space="preserve">Reporting &amp; Documentation Package (monthly)</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7</w:t>
            </w:r>
          </w:p>
        </w:tc>
        <w:tc>
          <w:tcPr/>
          <w:p>
            <w:pPr>
              <w:pStyle w:val="Compact"/>
              <w:jc w:val="left"/>
            </w:pPr>
            <w:r>
              <w:t xml:space="preserve">Contingency &amp; Administrative Overhead (8%)</w:t>
            </w:r>
          </w:p>
        </w:tc>
        <w:tc>
          <w:tcPr/>
          <w:p>
            <w:pPr>
              <w:pStyle w:val="Compact"/>
              <w:jc w:val="left"/>
            </w:pPr>
            <w:r>
              <w:t xml:space="preserve">—</w:t>
            </w:r>
          </w:p>
        </w:tc>
        <w:tc>
          <w:tcPr/>
          <w:p>
            <w:pPr>
              <w:pStyle w:val="Compact"/>
              <w:jc w:val="left"/>
            </w:pPr>
            <w:r>
              <w:t xml:space="preserve">1</w:t>
            </w:r>
          </w:p>
        </w:tc>
        <w:tc>
          <w:tcPr/>
          <w:p>
            <w:pPr>
              <w:pStyle w:val="Compact"/>
              <w:jc w:val="left"/>
            </w:pPr>
            <w:r>
              <w:t xml:space="preserve">—</w:t>
            </w:r>
          </w:p>
        </w:tc>
        <w:tc>
          <w:tcPr/>
          <w:p>
            <w:pPr>
              <w:pStyle w:val="Compact"/>
              <w:jc w:val="left"/>
            </w:pPr>
            <w:r>
              <w:t xml:space="preserve">724,800</w:t>
            </w:r>
          </w:p>
        </w:tc>
      </w:tr>
      <w:tr>
        <w:tc>
          <w:tcPr>
            <w:gridSpan w:val="5"/>
          </w:tcPr>
          <w:p>
            <w:pPr>
              <w:pStyle w:val="Compact"/>
              <w:jc w:val="right"/>
            </w:pPr>
            <w:r>
              <w:t xml:space="preserve">Subtotal (before IVA):</w:t>
            </w:r>
          </w:p>
        </w:tc>
        <w:tc>
          <w:tcPr/>
          <w:p>
            <w:pPr>
              <w:pStyle w:val="Compact"/>
              <w:jc w:val="left"/>
            </w:pPr>
            <w:r>
              <w:t xml:space="preserve">9,076,800</w:t>
            </w:r>
          </w:p>
        </w:tc>
      </w:tr>
      <w:tr>
        <w:tc>
          <w:tcPr>
            <w:gridSpan w:val="5"/>
          </w:tcPr>
          <w:p>
            <w:pPr>
              <w:pStyle w:val="Compact"/>
              <w:jc w:val="right"/>
            </w:pPr>
            <w:r>
              <w:t xml:space="preserve">IVA (21%):</w:t>
            </w:r>
          </w:p>
        </w:tc>
        <w:tc>
          <w:tcPr/>
          <w:p>
            <w:pPr>
              <w:pStyle w:val="Compact"/>
              <w:jc w:val="left"/>
            </w:pPr>
            <w:r>
              <w:t xml:space="preserve">1,906,128</w:t>
            </w:r>
          </w:p>
        </w:tc>
      </w:tr>
      <w:tr>
        <w:tc>
          <w:tcPr>
            <w:gridSpan w:val="5"/>
          </w:tcPr>
          <w:p>
            <w:pPr>
              <w:pStyle w:val="Compact"/>
              <w:jc w:val="right"/>
            </w:pPr>
            <w:r>
              <w:t xml:space="preserve">TOTAL QUOTATION ESTIMATE (ARS):</w:t>
            </w:r>
          </w:p>
        </w:tc>
        <w:tc>
          <w:tcPr/>
          <w:p>
            <w:pPr>
              <w:pStyle w:val="Compact"/>
              <w:jc w:val="left"/>
            </w:pPr>
            <w:r>
              <w:t xml:space="preserve">10,982,928</w:t>
            </w:r>
          </w:p>
        </w:tc>
      </w:tr>
    </w:tbl>
    <w:p>
      <w:pPr>
        <w:pStyle w:val="BodyText"/>
      </w:pPr>
      <w:r>
        <w:t xml:space="preserve">* The above Quotation Estimate is valid for 30 calendar days from the date of issue. Prices are subject to revision in the event of a change in the Argentine inflation index (IPC) exceeding 5% during the validity period, in accordance with Argentine commercial law.</w:t>
      </w:r>
    </w:p>
    <w:bookmarkEnd w:id="24"/>
    <w:bookmarkStart w:id="25" w:name="payment-terms"/>
    <w:p>
      <w:pPr>
        <w:pStyle w:val="Heading2"/>
      </w:pPr>
      <w:r>
        <w:t xml:space="preserve">5. Payment Terms</w:t>
      </w:r>
    </w:p>
    <w:p>
      <w:pPr>
        <w:pStyle w:val="FirstParagraph"/>
      </w:pPr>
      <w:r>
        <w:t xml:space="preserve">Payment for the</w:t>
      </w:r>
      <w:r>
        <w:t xml:space="preserve"> </w:t>
      </w:r>
      <w:r>
        <w:rPr>
          <w:bCs/>
          <w:b/>
        </w:rPr>
        <w:t xml:space="preserve">Project Manager</w:t>
      </w:r>
      <w:r>
        <w:t xml:space="preserve"> </w:t>
      </w:r>
      <w:r>
        <w:t xml:space="preserve">services outlined in this Quotation Estimate shall be made on a monthly basis, invoiced in arrears. The client agrees to settle each invoice within</w:t>
      </w:r>
      <w:r>
        <w:t xml:space="preserve"> </w:t>
      </w:r>
      <w:r>
        <w:rPr>
          <w:bCs/>
          <w:b/>
        </w:rPr>
        <w:t xml:space="preserve">15 business days</w:t>
      </w:r>
      <w:r>
        <w:t xml:space="preserve"> </w:t>
      </w:r>
      <w:r>
        <w:t xml:space="preserve">of receipt via bank transfer to the account designated by Meridian Consulting Group S.A. A late payment penalty of 1.5% per month (or the maximum rate permitted by Argentine law, whichever is lower) will apply to overdue balances. An initial mobilization payment of 20% of the total Quotation Estimate value is due upon contract signature to cover project initiation costs.</w:t>
      </w:r>
    </w:p>
    <w:bookmarkEnd w:id="25"/>
    <w:bookmarkStart w:id="26" w:name="assumptions-exclusions"/>
    <w:p>
      <w:pPr>
        <w:pStyle w:val="Heading2"/>
      </w:pPr>
      <w:r>
        <w:t xml:space="preserve">6. Assumptions &amp; Exclusions</w:t>
      </w:r>
    </w:p>
    <w:p>
      <w:pPr>
        <w:numPr>
          <w:ilvl w:val="0"/>
          <w:numId w:val="1002"/>
        </w:numPr>
        <w:pStyle w:val="Compact"/>
      </w:pPr>
      <w:r>
        <w:t xml:space="preserve">This Quotation Estimate assumes the client will provide timely access to all project documentation, site locations, and decision-makers within</w:t>
      </w:r>
      <w:r>
        <w:t xml:space="preserve"> </w:t>
      </w:r>
      <w:r>
        <w:rPr>
          <w:bCs/>
          <w:b/>
        </w:rPr>
        <w:t xml:space="preserve">Argentina Buenos Aires</w:t>
      </w:r>
      <w:r>
        <w:t xml:space="preserve">.</w:t>
      </w:r>
    </w:p>
    <w:p>
      <w:pPr>
        <w:numPr>
          <w:ilvl w:val="0"/>
          <w:numId w:val="1002"/>
        </w:numPr>
        <w:pStyle w:val="Compact"/>
      </w:pPr>
      <w:r>
        <w:t xml:space="preserve">Travel expenses beyond the Greater Buenos Aires metropolitan area (e.g., Córdoba, Rosario, Mendoza) are excluded and will be billed at cost with a 10% administrative surcharge.</w:t>
      </w:r>
    </w:p>
    <w:p>
      <w:pPr>
        <w:numPr>
          <w:ilvl w:val="0"/>
          <w:numId w:val="1002"/>
        </w:numPr>
        <w:pStyle w:val="Compact"/>
      </w:pPr>
      <w:r>
        <w:t xml:space="preserve">The</w:t>
      </w:r>
      <w:r>
        <w:t xml:space="preserve"> </w:t>
      </w:r>
      <w:r>
        <w:rPr>
          <w:bCs/>
          <w:b/>
        </w:rPr>
        <w:t xml:space="preserve">Project Manager</w:t>
      </w:r>
      <w:r>
        <w:t xml:space="preserve"> </w:t>
      </w:r>
      <w:r>
        <w:t xml:space="preserve">engagement does not include technical engineering, legal representation, or financial audit services. These may be procured separately.</w:t>
      </w:r>
    </w:p>
    <w:p>
      <w:pPr>
        <w:numPr>
          <w:ilvl w:val="0"/>
          <w:numId w:val="1002"/>
        </w:numPr>
        <w:pStyle w:val="Compact"/>
      </w:pPr>
      <w:r>
        <w:t xml:space="preserve">Any scope changes exceeding 10% of the originally defined deliverables will trigger a formal change-order process and a revised Quotation Estimate.</w:t>
      </w:r>
    </w:p>
    <w:p>
      <w:pPr>
        <w:numPr>
          <w:ilvl w:val="0"/>
          <w:numId w:val="1002"/>
        </w:numPr>
        <w:pStyle w:val="Compact"/>
      </w:pPr>
      <w:r>
        <w:t xml:space="preserve">The Quotation Estimate does not account for force majeure events, including but not limited to natural disasters, government-mandated shutdowns, or significant currency devaluation events affecting the Argentine peso.</w:t>
      </w:r>
    </w:p>
    <w:bookmarkEnd w:id="26"/>
    <w:bookmarkStart w:id="27" w:name="terms-conditions"/>
    <w:p>
      <w:pPr>
        <w:pStyle w:val="Heading2"/>
      </w:pPr>
      <w:r>
        <w:t xml:space="preserve">7. Terms &amp; Conditions</w:t>
      </w:r>
    </w:p>
    <w:p>
      <w:pPr>
        <w:numPr>
          <w:ilvl w:val="0"/>
          <w:numId w:val="1003"/>
        </w:numPr>
        <w:pStyle w:val="Compact"/>
      </w:pPr>
      <w:r>
        <w:rPr>
          <w:bCs/>
          <w:b/>
        </w:rPr>
        <w:t xml:space="preserve">Governing Law:</w:t>
      </w:r>
      <w:r>
        <w:t xml:space="preserve"> </w:t>
      </w:r>
      <w:r>
        <w:t xml:space="preserve">This Quotation Estimate and any resulting contract shall be governed by the laws of the Argentine Republic, with exclusive jurisdiction of the commercial courts of</w:t>
      </w:r>
      <w:r>
        <w:t xml:space="preserve"> </w:t>
      </w:r>
      <w:r>
        <w:rPr>
          <w:bCs/>
          <w:b/>
        </w:rPr>
        <w:t xml:space="preserve">Argentina Buenos Aires</w:t>
      </w:r>
      <w:r>
        <w:t xml:space="preserve">.</w:t>
      </w:r>
    </w:p>
    <w:p>
      <w:pPr>
        <w:numPr>
          <w:ilvl w:val="0"/>
          <w:numId w:val="1003"/>
        </w:numPr>
        <w:pStyle w:val="Compact"/>
      </w:pPr>
      <w:r>
        <w:rPr>
          <w:bCs/>
          <w:b/>
        </w:rPr>
        <w:t xml:space="preserve">Confidentiality:</w:t>
      </w:r>
      <w:r>
        <w:t xml:space="preserve"> </w:t>
      </w:r>
      <w:r>
        <w:t xml:space="preserve">Both parties agree to maintain strict confidentiality regarding all project information, financial data, and proprietary materials exchanged during the engagement.</w:t>
      </w:r>
    </w:p>
    <w:p>
      <w:pPr>
        <w:numPr>
          <w:ilvl w:val="0"/>
          <w:numId w:val="1003"/>
        </w:numPr>
        <w:pStyle w:val="Compact"/>
      </w:pPr>
      <w:r>
        <w:rPr>
          <w:bCs/>
          <w:b/>
        </w:rPr>
        <w:t xml:space="preserve">Intellectual Property:</w:t>
      </w:r>
      <w:r>
        <w:t xml:space="preserve"> </w:t>
      </w:r>
      <w:r>
        <w:t xml:space="preserve">All reports, schedules, and documentation produced by the</w:t>
      </w:r>
      <w:r>
        <w:t xml:space="preserve"> </w:t>
      </w:r>
      <w:r>
        <w:rPr>
          <w:bCs/>
          <w:b/>
        </w:rPr>
        <w:t xml:space="preserve">Project Manager</w:t>
      </w:r>
      <w:r>
        <w:t xml:space="preserve"> </w:t>
      </w:r>
      <w:r>
        <w:t xml:space="preserve">under this engagement shall become the property of the client upon full payment.</w:t>
      </w:r>
    </w:p>
    <w:p>
      <w:pPr>
        <w:numPr>
          <w:ilvl w:val="0"/>
          <w:numId w:val="1003"/>
        </w:numPr>
        <w:pStyle w:val="Compact"/>
      </w:pPr>
      <w:r>
        <w:rPr>
          <w:bCs/>
          <w:b/>
        </w:rPr>
        <w:t xml:space="preserve">Termination:</w:t>
      </w:r>
      <w:r>
        <w:t xml:space="preserve"> </w:t>
      </w:r>
      <w:r>
        <w:t xml:space="preserve">Either party may terminate the agreement with 30 days' written notice. In such an event, the client shall pay for all services rendered up to the termination date.</w:t>
      </w:r>
    </w:p>
    <w:p>
      <w:pPr>
        <w:numPr>
          <w:ilvl w:val="0"/>
          <w:numId w:val="1003"/>
        </w:numPr>
        <w:pStyle w:val="Compact"/>
      </w:pPr>
      <w:r>
        <w:rPr>
          <w:bCs/>
          <w:b/>
        </w:rPr>
        <w:t xml:space="preserve">Insurance:</w:t>
      </w:r>
      <w:r>
        <w:t xml:space="preserve"> </w:t>
      </w:r>
      <w:r>
        <w:t xml:space="preserve">Meridian Consulting Group S.A. maintains professional liability insurance with a minimum coverage of ARS 50,000,000, valid throughout the</w:t>
      </w:r>
      <w:r>
        <w:t xml:space="preserve"> </w:t>
      </w:r>
      <w:r>
        <w:rPr>
          <w:bCs/>
          <w:b/>
        </w:rPr>
        <w:t xml:space="preserve">Argentina Buenos Aires</w:t>
      </w:r>
      <w:r>
        <w:t xml:space="preserve"> </w:t>
      </w:r>
      <w:r>
        <w:t xml:space="preserve">jurisdiction.</w:t>
      </w:r>
    </w:p>
    <w:p>
      <w:pPr>
        <w:numPr>
          <w:ilvl w:val="0"/>
          <w:numId w:val="1003"/>
        </w:numPr>
        <w:pStyle w:val="Compact"/>
      </w:pPr>
      <w:r>
        <w:rPr>
          <w:bCs/>
          <w:b/>
        </w:rPr>
        <w:t xml:space="preserve">Acceptance:</w:t>
      </w:r>
      <w:r>
        <w:t xml:space="preserve"> </w:t>
      </w:r>
      <w:r>
        <w:t xml:space="preserve">This Quotation Estimate becomes a binding offer upon written acceptance by the client, signed and returned to Meridian Consulting Group S.A. within the 30-day validity period.</w:t>
      </w:r>
    </w:p>
    <w:bookmarkEnd w:id="27"/>
    <w:bookmarkStart w:id="28" w:name="acceptance-authorization"/>
    <w:p>
      <w:pPr>
        <w:pStyle w:val="Heading2"/>
      </w:pPr>
      <w:r>
        <w:t xml:space="preserve">8. Acceptance &amp; Authorization</w:t>
      </w:r>
    </w:p>
    <w:p>
      <w:pPr>
        <w:pStyle w:val="FirstParagraph"/>
      </w:pPr>
      <w:r>
        <w:t xml:space="preserve">By signing below, the client acknowledges receipt of this Quotation Estimate for</w:t>
      </w:r>
      <w:r>
        <w:t xml:space="preserve"> </w:t>
      </w:r>
      <w:r>
        <w:rPr>
          <w:bCs/>
          <w:b/>
        </w:rPr>
        <w:t xml:space="preserve">Project Manager</w:t>
      </w:r>
      <w:r>
        <w:t xml:space="preserve"> </w:t>
      </w:r>
      <w:r>
        <w:t xml:space="preserve">services in</w:t>
      </w:r>
      <w:r>
        <w:t xml:space="preserve"> </w:t>
      </w:r>
      <w:r>
        <w:rPr>
          <w:bCs/>
          <w:b/>
        </w:rPr>
        <w:t xml:space="preserve">Argentina Buenos Aires</w:t>
      </w:r>
      <w:r>
        <w:t xml:space="preserve"> </w:t>
      </w:r>
      <w:r>
        <w:t xml:space="preserve">and agrees to the terms, conditions, and pricing outlined herein. This signature constitutes formal acceptance of the Quotation Estimate and authorizes Meridian Consulting Group S.A. to commence project initiation activities.</w:t>
      </w:r>
    </w:p>
    <w:bookmarkEnd w:id="28"/>
    <w:p>
      <w:pPr>
        <w:pStyle w:val="BodyText"/>
      </w:pPr>
      <w:r>
        <w:rPr>
          <w:bCs/>
          <w:b/>
        </w:rPr>
        <w:t xml:space="preserve">For Meridian Consulting Group S.A.</w:t>
      </w:r>
      <w:r>
        <w:br/>
      </w:r>
      <w:r>
        <w:t xml:space="preserve">Name: _________________________</w:t>
      </w:r>
      <w:r>
        <w:br/>
      </w:r>
      <w:r>
        <w:t xml:space="preserve">Title: Director of Operations</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t xml:space="preserve">— End of Quotation Estimate QTE-2025-BA-0047 | Meridian Consulting Group S.A. | Argentina Buenos Aires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Argentina Buenos Aires</dc:title>
  <dc:creator/>
  <dc:language>en</dc:language>
  <cp:keywords/>
  <dcterms:created xsi:type="dcterms:W3CDTF">2026-10-10T01:18:15Z</dcterms:created>
  <dcterms:modified xsi:type="dcterms:W3CDTF">2026-10-10T01:18:15Z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