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clients operating in Australia Brisbane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QTE-BNE-2025-0472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Apex Project Solutions Pty Ltd, 42 Creek Street, Brisbane QLD 4000, Australia</w:t>
            </w:r>
          </w:p>
        </w:tc>
      </w:tr>
      <w:tr>
        <w:tc>
          <w:tcPr/>
          <w:p>
            <w:pPr>
              <w:pStyle w:val="Compact"/>
              <w:jc w:val="left"/>
            </w:pPr>
            <w:r>
              <w:t xml:space="preserve">Prepared For:</w:t>
            </w:r>
          </w:p>
        </w:tc>
        <w:tc>
          <w:tcPr/>
          <w:p>
            <w:pPr>
              <w:pStyle w:val="Compact"/>
              <w:jc w:val="left"/>
            </w:pPr>
            <w:r>
              <w:t xml:space="preserve">[Client Name / Organisation], Australia Brisbane</w:t>
            </w:r>
          </w:p>
        </w:tc>
      </w:tr>
      <w:tr>
        <w:tc>
          <w:tcPr/>
          <w:p>
            <w:pPr>
              <w:pStyle w:val="Compact"/>
              <w:jc w:val="left"/>
            </w:pPr>
            <w:r>
              <w:t xml:space="preserve">Engagement Type:</w:t>
            </w:r>
          </w:p>
        </w:tc>
        <w:tc>
          <w:tcPr/>
          <w:p>
            <w:pPr>
              <w:pStyle w:val="Compact"/>
              <w:jc w:val="left"/>
            </w:pPr>
            <w:r>
              <w:t xml:space="preserve">Project Manager – Full-Time Contract (12 Months)</w:t>
            </w:r>
          </w:p>
        </w:tc>
      </w:tr>
      <w:tr>
        <w:tc>
          <w:tcPr/>
          <w:p>
            <w:pPr>
              <w:pStyle w:val="Compact"/>
              <w:jc w:val="left"/>
            </w:pPr>
            <w:r>
              <w:t xml:space="preserve">ABN:</w:t>
            </w:r>
          </w:p>
        </w:tc>
        <w:tc>
          <w:tcPr/>
          <w:p>
            <w:pPr>
              <w:pStyle w:val="Compact"/>
              <w:jc w:val="left"/>
            </w:pPr>
            <w:r>
              <w:t xml:space="preserve">54 123 456 789</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Apex Project Solutions Pty Ltd to provide a comprehensive and transparent financial proposal for the engagement of a senior</w:t>
      </w:r>
      <w:r>
        <w:t xml:space="preserve"> </w:t>
      </w:r>
      <w:r>
        <w:t xml:space="preserve">Project Manager</w:t>
      </w:r>
      <w:r>
        <w:t xml:space="preserve"> </w:t>
      </w:r>
      <w:r>
        <w:t xml:space="preserve">to support your organisation's strategic initiatives within</w:t>
      </w:r>
      <w:r>
        <w:t xml:space="preserve"> </w:t>
      </w:r>
      <w:r>
        <w:t xml:space="preserve">Australia Brisbane</w:t>
      </w:r>
      <w:r>
        <w:t xml:space="preserve">. This document outlines the scope of services, professional rates, deliverables, and commercial terms that will govern the engagement. All pricing is quoted in Australian Dollars (AUD) and is inclusive of applicable Goods and Services Tax (GST) at the current rate of 10%, unless otherwise stated.</w:t>
      </w:r>
    </w:p>
    <w:p>
      <w:pPr>
        <w:pStyle w:val="BodyText"/>
      </w:pPr>
      <w:r>
        <w:t xml:space="preserve">Our</w:t>
      </w:r>
      <w:r>
        <w:t xml:space="preserve"> </w:t>
      </w:r>
      <w:r>
        <w:t xml:space="preserve">Project Manager</w:t>
      </w:r>
      <w:r>
        <w:t xml:space="preserve"> </w:t>
      </w:r>
      <w:r>
        <w:t xml:space="preserve">brings over fifteen years of experience delivering complex capital projects, IT transformations, and infrastructure programmes across Queensland and the broader Australian market. The proposed engagement is specifically tailored to meet the regulatory, cultural, and operational requirements of projects delivered in</w:t>
      </w:r>
      <w:r>
        <w:t xml:space="preserve"> </w:t>
      </w:r>
      <w:r>
        <w:t xml:space="preserve">Australia Brisbane</w:t>
      </w:r>
      <w:r>
        <w:t xml:space="preserve">, including compliance with Queensland Building and Construction Commission (QBCC) standards, local council planning requirements, and Australian workplace health and safety legislation.</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functions throughout the project lifecycle in</w:t>
      </w:r>
      <w:r>
        <w:t xml:space="preserve"> </w:t>
      </w:r>
      <w:r>
        <w:t xml:space="preserve">Australia Brisbane</w:t>
      </w:r>
      <w:r>
        <w:t xml:space="preserve">:</w:t>
      </w:r>
    </w:p>
    <w:p>
      <w:pPr>
        <w:numPr>
          <w:ilvl w:val="0"/>
          <w:numId w:val="1001"/>
        </w:numPr>
        <w:pStyle w:val="Compact"/>
      </w:pPr>
      <w:r>
        <w:rPr>
          <w:bCs/>
          <w:b/>
        </w:rPr>
        <w:t xml:space="preserve">Project Planning &amp; Scheduling:</w:t>
      </w:r>
      <w:r>
        <w:t xml:space="preserve"> </w:t>
      </w:r>
      <w:r>
        <w:t xml:space="preserve">Development of detailed project plans, work breakdown structures, critical path schedules, and resource allocation matrices aligned with the client's strategic objectives.</w:t>
      </w:r>
    </w:p>
    <w:p>
      <w:pPr>
        <w:numPr>
          <w:ilvl w:val="0"/>
          <w:numId w:val="1001"/>
        </w:numPr>
        <w:pStyle w:val="Compact"/>
      </w:pPr>
      <w:r>
        <w:rPr>
          <w:bCs/>
          <w:b/>
        </w:rPr>
        <w:t xml:space="preserve">Stakeholder Management:</w:t>
      </w:r>
      <w:r>
        <w:t xml:space="preserve"> </w:t>
      </w:r>
      <w:r>
        <w:t xml:space="preserve">Facilitation of regular governance meetings, progress reporting to the Board and executive leadership, and management of third-party contractors, consultants, and local government authorities within Brisbane.</w:t>
      </w:r>
    </w:p>
    <w:p>
      <w:pPr>
        <w:numPr>
          <w:ilvl w:val="0"/>
          <w:numId w:val="1001"/>
        </w:numPr>
        <w:pStyle w:val="Compact"/>
      </w:pPr>
      <w:r>
        <w:rPr>
          <w:bCs/>
          <w:b/>
        </w:rPr>
        <w:t xml:space="preserve">Budget &amp; Cost Control:</w:t>
      </w:r>
      <w:r>
        <w:t xml:space="preserve"> </w:t>
      </w:r>
      <w:r>
        <w:t xml:space="preserve">End-to-end financial management of the project budget, including procurement oversight, variation management, cash flow forecasting, and monthly cost reporting in accordance with Australian accounting standards.</w:t>
      </w:r>
    </w:p>
    <w:p>
      <w:pPr>
        <w:numPr>
          <w:ilvl w:val="0"/>
          <w:numId w:val="1001"/>
        </w:numPr>
        <w:pStyle w:val="Compact"/>
      </w:pPr>
      <w:r>
        <w:rPr>
          <w:bCs/>
          <w:b/>
        </w:rPr>
        <w:t xml:space="preserve">Risk &amp; Issue Management:</w:t>
      </w:r>
      <w:r>
        <w:t xml:space="preserve"> </w:t>
      </w:r>
      <w:r>
        <w:t xml:space="preserve">Identification, assessment, and mitigation of project risks specific to the Brisbane construction and development environment, including flood risk, heritage considerations, and environmental compliance under the Queensland Environmental Protection Act 1994.</w:t>
      </w:r>
    </w:p>
    <w:p>
      <w:pPr>
        <w:numPr>
          <w:ilvl w:val="0"/>
          <w:numId w:val="1001"/>
        </w:numPr>
        <w:pStyle w:val="Compact"/>
      </w:pPr>
      <w:r>
        <w:rPr>
          <w:bCs/>
          <w:b/>
        </w:rPr>
        <w:t xml:space="preserve">Quality Assurance &amp; Compliance:</w:t>
      </w:r>
      <w:r>
        <w:t xml:space="preserve"> </w:t>
      </w:r>
      <w:r>
        <w:t xml:space="preserve">Ensuring all deliverables meet Australian Standards (AS/NZS), industry best practice, and the specific contractual obligations of the project.</w:t>
      </w:r>
    </w:p>
    <w:p>
      <w:pPr>
        <w:numPr>
          <w:ilvl w:val="0"/>
          <w:numId w:val="1001"/>
        </w:numPr>
        <w:pStyle w:val="Compact"/>
      </w:pPr>
      <w:r>
        <w:rPr>
          <w:bCs/>
          <w:b/>
        </w:rPr>
        <w:t xml:space="preserve">Close-Out &amp; Handover:</w:t>
      </w:r>
      <w:r>
        <w:t xml:space="preserve"> </w:t>
      </w:r>
      <w:r>
        <w:t xml:space="preserve">Management of project close-out documentation, defect liability period oversight, and formal handover to the client's operations team.</w:t>
      </w:r>
    </w:p>
    <w:bookmarkEnd w:id="22"/>
    <w:bookmarkStart w:id="23" w:name="fee-structure-rate-schedule"/>
    <w:p>
      <w:pPr>
        <w:pStyle w:val="Heading2"/>
      </w:pPr>
      <w:r>
        <w:t xml:space="preserve">3. Fee Structure &amp; Rate Schedule</w:t>
      </w:r>
    </w:p>
    <w:p>
      <w:pPr>
        <w:pStyle w:val="FirstParagraph"/>
      </w:pPr>
      <w:r>
        <w:t xml:space="preserve">The following</w:t>
      </w:r>
      <w:r>
        <w:t xml:space="preserve"> </w:t>
      </w:r>
      <w:r>
        <w:t xml:space="preserve">Quotation Estimate</w:t>
      </w:r>
      <w:r>
        <w:t xml:space="preserve"> </w:t>
      </w:r>
      <w:r>
        <w:t xml:space="preserve">sets out the professional fees for the</w:t>
      </w:r>
      <w:r>
        <w:t xml:space="preserve"> </w:t>
      </w:r>
      <w:r>
        <w:t xml:space="preserve">Project Manager</w:t>
      </w:r>
      <w:r>
        <w:t xml:space="preserve"> </w:t>
      </w:r>
      <w:r>
        <w:t xml:space="preserve">engagement. Rates are based on a full-time, 38-hour working week with standard public holidays as observed in Queensland, Australia.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 Amount (AUD)</w:t>
            </w:r>
          </w:p>
        </w:tc>
        <w:tc>
          <w:tcPr/>
          <w:p>
            <w:pPr>
              <w:pStyle w:val="Compact"/>
              <w:jc w:val="left"/>
            </w:pPr>
            <w:r>
              <w:t xml:space="preserve">Frequency</w:t>
            </w:r>
          </w:p>
        </w:tc>
      </w:tr>
      <w:tr>
        <w:tc>
          <w:tcPr/>
          <w:p>
            <w:pPr>
              <w:pStyle w:val="Compact"/>
              <w:jc w:val="left"/>
            </w:pPr>
            <w:r>
              <w:t xml:space="preserve">1.1</w:t>
            </w:r>
          </w:p>
        </w:tc>
        <w:tc>
          <w:tcPr/>
          <w:p>
            <w:pPr>
              <w:pStyle w:val="Compact"/>
              <w:jc w:val="left"/>
            </w:pPr>
            <w:r>
              <w:t xml:space="preserve">Project Manager – Senior (15+ yrs experience)</w:t>
            </w:r>
          </w:p>
        </w:tc>
        <w:tc>
          <w:tcPr/>
          <w:p>
            <w:pPr>
              <w:pStyle w:val="Compact"/>
              <w:jc w:val="left"/>
            </w:pPr>
            <w:r>
              <w:t xml:space="preserve">$1,850.00</w:t>
            </w:r>
          </w:p>
        </w:tc>
        <w:tc>
          <w:tcPr/>
          <w:p>
            <w:pPr>
              <w:pStyle w:val="Compact"/>
              <w:jc w:val="left"/>
            </w:pPr>
            <w:r>
              <w:t xml:space="preserve">Per day</w:t>
            </w:r>
          </w:p>
        </w:tc>
      </w:tr>
      <w:tr>
        <w:tc>
          <w:tcPr/>
          <w:p>
            <w:pPr>
              <w:pStyle w:val="Compact"/>
              <w:jc w:val="left"/>
            </w:pPr>
            <w:r>
              <w:t xml:space="preserve">1.2</w:t>
            </w:r>
          </w:p>
        </w:tc>
        <w:tc>
          <w:tcPr/>
          <w:p>
            <w:pPr>
              <w:pStyle w:val="Compact"/>
              <w:jc w:val="left"/>
            </w:pPr>
            <w:r>
              <w:t xml:space="preserve">Project Manager – Mid-Level (8–14 yrs experience)</w:t>
            </w:r>
          </w:p>
        </w:tc>
        <w:tc>
          <w:tcPr/>
          <w:p>
            <w:pPr>
              <w:pStyle w:val="Compact"/>
              <w:jc w:val="left"/>
            </w:pPr>
            <w:r>
              <w:t xml:space="preserve">$1,420.00</w:t>
            </w:r>
          </w:p>
        </w:tc>
        <w:tc>
          <w:tcPr/>
          <w:p>
            <w:pPr>
              <w:pStyle w:val="Compact"/>
              <w:jc w:val="left"/>
            </w:pPr>
            <w:r>
              <w:t xml:space="preserve">Per day</w:t>
            </w:r>
          </w:p>
        </w:tc>
      </w:tr>
      <w:tr>
        <w:tc>
          <w:tcPr/>
          <w:p>
            <w:pPr>
              <w:pStyle w:val="Compact"/>
              <w:jc w:val="left"/>
            </w:pPr>
            <w:r>
              <w:t xml:space="preserve">1.3</w:t>
            </w:r>
          </w:p>
        </w:tc>
        <w:tc>
          <w:tcPr/>
          <w:p>
            <w:pPr>
              <w:pStyle w:val="Compact"/>
              <w:jc w:val="left"/>
            </w:pPr>
            <w:r>
              <w:t xml:space="preserve">Project Coordination &amp; Scheduling Support</w:t>
            </w:r>
          </w:p>
        </w:tc>
        <w:tc>
          <w:tcPr/>
          <w:p>
            <w:pPr>
              <w:pStyle w:val="Compact"/>
              <w:jc w:val="left"/>
            </w:pPr>
            <w:r>
              <w:t xml:space="preserve">$980.00</w:t>
            </w:r>
          </w:p>
        </w:tc>
        <w:tc>
          <w:tcPr/>
          <w:p>
            <w:pPr>
              <w:pStyle w:val="Compact"/>
              <w:jc w:val="left"/>
            </w:pPr>
            <w:r>
              <w:t xml:space="preserve">Per day</w:t>
            </w:r>
          </w:p>
        </w:tc>
      </w:tr>
      <w:tr>
        <w:tc>
          <w:tcPr/>
          <w:p>
            <w:pPr>
              <w:pStyle w:val="Compact"/>
              <w:jc w:val="left"/>
            </w:pPr>
            <w:r>
              <w:t xml:space="preserve">1.4</w:t>
            </w:r>
          </w:p>
        </w:tc>
        <w:tc>
          <w:tcPr/>
          <w:p>
            <w:pPr>
              <w:pStyle w:val="Compact"/>
              <w:jc w:val="left"/>
            </w:pPr>
            <w:r>
              <w:t xml:space="preserve">Monthly Governance &amp; Reporting Package</w:t>
            </w:r>
          </w:p>
        </w:tc>
        <w:tc>
          <w:tcPr/>
          <w:p>
            <w:pPr>
              <w:pStyle w:val="Compact"/>
              <w:jc w:val="left"/>
            </w:pPr>
            <w:r>
              <w:t xml:space="preserve">$4,500.00</w:t>
            </w:r>
          </w:p>
        </w:tc>
        <w:tc>
          <w:tcPr/>
          <w:p>
            <w:pPr>
              <w:pStyle w:val="Compact"/>
              <w:jc w:val="left"/>
            </w:pPr>
            <w:r>
              <w:t xml:space="preserve">Per month</w:t>
            </w:r>
          </w:p>
        </w:tc>
      </w:tr>
      <w:tr>
        <w:tc>
          <w:tcPr/>
          <w:p>
            <w:pPr>
              <w:pStyle w:val="Compact"/>
              <w:jc w:val="left"/>
            </w:pPr>
            <w:r>
              <w:t xml:space="preserve">1.5</w:t>
            </w:r>
          </w:p>
        </w:tc>
        <w:tc>
          <w:tcPr/>
          <w:p>
            <w:pPr>
              <w:pStyle w:val="Compact"/>
              <w:jc w:val="left"/>
            </w:pPr>
            <w:r>
              <w:t xml:space="preserve">Travel &amp; Accommodation (within Greater Brisbane)</w:t>
            </w:r>
          </w:p>
        </w:tc>
        <w:tc>
          <w:tcPr/>
          <w:p>
            <w:pPr>
              <w:pStyle w:val="Compact"/>
              <w:jc w:val="left"/>
            </w:pPr>
            <w:r>
              <w:t xml:space="preserve">Actuals (capped at $120/day)</w:t>
            </w:r>
          </w:p>
        </w:tc>
        <w:tc>
          <w:tcPr/>
          <w:p>
            <w:pPr>
              <w:pStyle w:val="Compact"/>
              <w:jc w:val="left"/>
            </w:pPr>
            <w:r>
              <w:t xml:space="preserve">As incurred</w:t>
            </w:r>
          </w:p>
        </w:tc>
      </w:tr>
      <w:tr>
        <w:tc>
          <w:tcPr/>
          <w:p>
            <w:pPr>
              <w:pStyle w:val="Compact"/>
              <w:jc w:val="left"/>
            </w:pPr>
            <w:r>
              <w:t xml:space="preserve">1.6</w:t>
            </w:r>
          </w:p>
        </w:tc>
        <w:tc>
          <w:tcPr/>
          <w:p>
            <w:pPr>
              <w:pStyle w:val="Compact"/>
              <w:jc w:val="left"/>
            </w:pPr>
            <w:r>
              <w:t xml:space="preserve">Travel &amp; Accommodation (regional Queensland / interstate)</w:t>
            </w:r>
          </w:p>
        </w:tc>
        <w:tc>
          <w:tcPr/>
          <w:p>
            <w:pPr>
              <w:pStyle w:val="Compact"/>
              <w:jc w:val="left"/>
            </w:pPr>
            <w:r>
              <w:t xml:space="preserve">Actuals (capped at $250/day)</w:t>
            </w:r>
          </w:p>
        </w:tc>
        <w:tc>
          <w:tcPr/>
          <w:p>
            <w:pPr>
              <w:pStyle w:val="Compact"/>
              <w:jc w:val="left"/>
            </w:pPr>
            <w:r>
              <w:t xml:space="preserve">As incurred</w:t>
            </w:r>
          </w:p>
        </w:tc>
      </w:tr>
      <w:tr>
        <w:tc>
          <w:tcPr/>
          <w:p>
            <w:pPr>
              <w:pStyle w:val="Compact"/>
              <w:jc w:val="left"/>
            </w:pPr>
            <w:r>
              <w:t xml:space="preserve">1.7</w:t>
            </w:r>
          </w:p>
        </w:tc>
        <w:tc>
          <w:tcPr/>
          <w:p>
            <w:pPr>
              <w:pStyle w:val="Compact"/>
              <w:jc w:val="left"/>
            </w:pPr>
            <w:r>
              <w:t xml:space="preserve">Software &amp; Tooling Licence (MS Project, Primavera, Procore)</w:t>
            </w:r>
          </w:p>
        </w:tc>
        <w:tc>
          <w:tcPr/>
          <w:p>
            <w:pPr>
              <w:pStyle w:val="Compact"/>
              <w:jc w:val="left"/>
            </w:pPr>
            <w:r>
              <w:t xml:space="preserve">$320.00</w:t>
            </w:r>
          </w:p>
        </w:tc>
        <w:tc>
          <w:tcPr/>
          <w:p>
            <w:pPr>
              <w:pStyle w:val="Compact"/>
              <w:jc w:val="left"/>
            </w:pPr>
            <w:r>
              <w:t xml:space="preserve">Per month</w:t>
            </w:r>
          </w:p>
        </w:tc>
      </w:tr>
      <w:tr>
        <w:tc>
          <w:tcPr/>
          <w:p>
            <w:pPr>
              <w:pStyle w:val="Compact"/>
              <w:jc w:val="left"/>
            </w:pPr>
            <w:r>
              <w:t xml:space="preserve">1.8</w:t>
            </w:r>
          </w:p>
        </w:tc>
        <w:tc>
          <w:tcPr/>
          <w:p>
            <w:pPr>
              <w:pStyle w:val="Compact"/>
              <w:jc w:val="left"/>
            </w:pPr>
            <w:r>
              <w:t xml:space="preserve">Emergency / After-Hours Call-Out (max 4 hrs)</w:t>
            </w:r>
          </w:p>
        </w:tc>
        <w:tc>
          <w:tcPr/>
          <w:p>
            <w:pPr>
              <w:pStyle w:val="Compact"/>
              <w:jc w:val="left"/>
            </w:pPr>
            <w:r>
              <w:t xml:space="preserve">$2,200.00</w:t>
            </w:r>
          </w:p>
        </w:tc>
        <w:tc>
          <w:tcPr/>
          <w:p>
            <w:pPr>
              <w:pStyle w:val="Compact"/>
              <w:jc w:val="left"/>
            </w:pPr>
            <w:r>
              <w:t xml:space="preserve">Per occurrence</w:t>
            </w:r>
          </w:p>
        </w:tc>
      </w:tr>
      <w:tr>
        <w:tc>
          <w:tcPr>
            <w:gridSpan w:val="2"/>
          </w:tcPr>
          <w:p>
            <w:pPr>
              <w:pStyle w:val="Compact"/>
              <w:jc w:val="left"/>
            </w:pPr>
            <w:r>
              <w:t xml:space="preserve">Estimated Monthly Total (Senior PM, 22 working days)</w:t>
            </w:r>
          </w:p>
        </w:tc>
        <w:tc>
          <w:tcPr/>
          <w:p>
            <w:pPr>
              <w:pStyle w:val="Compact"/>
              <w:jc w:val="left"/>
            </w:pPr>
            <w:r>
              <w:t xml:space="preserve">$40,700.00 + GST</w:t>
            </w:r>
          </w:p>
        </w:tc>
        <w:tc>
          <w:tcPr/>
          <w:p>
            <w:pPr>
              <w:pStyle w:val="Compact"/>
              <w:jc w:val="left"/>
            </w:pPr>
            <w:r>
              <w:t xml:space="preserve">Per month</w:t>
            </w:r>
          </w:p>
        </w:tc>
      </w:tr>
      <w:tr>
        <w:tc>
          <w:tcPr>
            <w:gridSpan w:val="2"/>
          </w:tcPr>
          <w:p>
            <w:pPr>
              <w:pStyle w:val="Compact"/>
              <w:jc w:val="left"/>
            </w:pPr>
            <w:r>
              <w:t xml:space="preserve">Estimated 12-Month Engagement Total</w:t>
            </w:r>
          </w:p>
        </w:tc>
        <w:tc>
          <w:tcPr/>
          <w:p>
            <w:pPr>
              <w:pStyle w:val="Compact"/>
              <w:jc w:val="left"/>
            </w:pPr>
            <w:r>
              <w:t xml:space="preserve">$488,400.00 + GST</w:t>
            </w:r>
          </w:p>
        </w:tc>
        <w:tc>
          <w:tcPr/>
          <w:p>
            <w:pPr>
              <w:pStyle w:val="Compact"/>
              <w:jc w:val="left"/>
            </w:pPr>
            <w:r>
              <w:t xml:space="preserve">One-time</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a standard 12-month engagement commencing 1 August 2025. Should the project scope in</w:t>
      </w:r>
      <w:r>
        <w:t xml:space="preserve"> </w:t>
      </w:r>
      <w:r>
        <w:t xml:space="preserve">Australia Brisbane</w:t>
      </w:r>
      <w:r>
        <w:t xml:space="preserve"> </w:t>
      </w:r>
      <w:r>
        <w:t xml:space="preserve">require an extension beyond the initial term, a revised</w:t>
      </w:r>
      <w:r>
        <w:t xml:space="preserve"> </w:t>
      </w:r>
      <w:r>
        <w:t xml:space="preserve">Quotation Estimate</w:t>
      </w:r>
      <w:r>
        <w:t xml:space="preserve"> </w:t>
      </w:r>
      <w:r>
        <w:t xml:space="preserve">will be issued at least 30 days prior to the expiry of the current contract period. All rates are fixed for the duration of the initial 12-month term and are subject to a maximum annual adjustment of 3% thereafter.</w:t>
      </w:r>
    </w:p>
    <w:bookmarkEnd w:id="23"/>
    <w:bookmarkStart w:id="24" w:name="payment-terms"/>
    <w:p>
      <w:pPr>
        <w:pStyle w:val="Heading2"/>
      </w:pPr>
      <w:r>
        <w:t xml:space="preserve">4. Payment Terms</w:t>
      </w:r>
    </w:p>
    <w:p>
      <w:pPr>
        <w:numPr>
          <w:ilvl w:val="0"/>
          <w:numId w:val="1002"/>
        </w:numPr>
        <w:pStyle w:val="Compact"/>
      </w:pPr>
      <w:r>
        <w:t xml:space="preserve">Invoices will be issued on the last working day of each calendar month for services rendered in the preceding month.</w:t>
      </w:r>
    </w:p>
    <w:p>
      <w:pPr>
        <w:numPr>
          <w:ilvl w:val="0"/>
          <w:numId w:val="1002"/>
        </w:numPr>
        <w:pStyle w:val="Compact"/>
      </w:pPr>
      <w:r>
        <w:t xml:space="preserve">Payment is due within 30 days of the date of invoice in accordance with the Australian Payment Terms Act 2013.</w:t>
      </w:r>
    </w:p>
    <w:p>
      <w:pPr>
        <w:numPr>
          <w:ilvl w:val="0"/>
          <w:numId w:val="1002"/>
        </w:numPr>
        <w:pStyle w:val="Compact"/>
      </w:pPr>
      <w:r>
        <w:t xml:space="preserve">A 1.5% per month late payment interest charge will apply to overdue balances, as permitted under Queensland commercial tenancy and contract law.</w:t>
      </w:r>
    </w:p>
    <w:p>
      <w:pPr>
        <w:numPr>
          <w:ilvl w:val="0"/>
          <w:numId w:val="1002"/>
        </w:numPr>
        <w:pStyle w:val="Compact"/>
      </w:pPr>
      <w:r>
        <w:t xml:space="preserve">All amounts are exclusive of GST. A valid tax invoice will be provided with each payment request.</w:t>
      </w:r>
    </w:p>
    <w:p>
      <w:pPr>
        <w:numPr>
          <w:ilvl w:val="0"/>
          <w:numId w:val="1002"/>
        </w:numPr>
        <w:pStyle w:val="Compact"/>
      </w:pPr>
      <w:r>
        <w:t xml:space="preserve">For engagements exceeding 6 months, the client may request a 10% mobilisation fee payable upon execution of the contract.</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Acceptance beyond this period requires written reconfirmation of all rates and terms.</w:t>
      </w:r>
    </w:p>
    <w:p>
      <w:pPr>
        <w:numPr>
          <w:ilvl w:val="0"/>
          <w:numId w:val="1003"/>
        </w:numPr>
        <w:pStyle w:val="Compact"/>
      </w:pPr>
      <w:r>
        <w:t xml:space="preserve">The</w:t>
      </w:r>
      <w:r>
        <w:t xml:space="preserve"> </w:t>
      </w:r>
      <w:r>
        <w:t xml:space="preserve">Project Manager</w:t>
      </w:r>
      <w:r>
        <w:t xml:space="preserve"> </w:t>
      </w:r>
      <w:r>
        <w:t xml:space="preserve">shall operate in strict compliance with all applicable Australian and Queensland legislation, including the Fair Work Act 2009, the Work Health and Safety Act 2011 (Qld), and the Privacy Act 1988 (Cth).</w:t>
      </w:r>
    </w:p>
    <w:p>
      <w:pPr>
        <w:numPr>
          <w:ilvl w:val="0"/>
          <w:numId w:val="1003"/>
        </w:numPr>
        <w:pStyle w:val="Compact"/>
      </w:pPr>
      <w:r>
        <w:t xml:space="preserve">Confidentiality obligations shall survive the termination of this engagement for a period of five (5) years.</w:t>
      </w:r>
    </w:p>
    <w:p>
      <w:pPr>
        <w:numPr>
          <w:ilvl w:val="0"/>
          <w:numId w:val="1003"/>
        </w:numPr>
        <w:pStyle w:val="Compact"/>
      </w:pPr>
      <w:r>
        <w:t xml:space="preserve">Either party may terminate the engagement with 30 days' written notice. In the event of termination for convenience, the client shall be liable for all fees accrued up to the termination date plus a 15% wind-down fee.</w:t>
      </w:r>
    </w:p>
    <w:p>
      <w:pPr>
        <w:numPr>
          <w:ilvl w:val="0"/>
          <w:numId w:val="1003"/>
        </w:numPr>
        <w:pStyle w:val="Compact"/>
      </w:pPr>
      <w:r>
        <w:t xml:space="preserve">Disputes arising under this</w:t>
      </w:r>
      <w:r>
        <w:t xml:space="preserve"> </w:t>
      </w:r>
      <w:r>
        <w:t xml:space="preserve">Quotation Estimate</w:t>
      </w:r>
      <w:r>
        <w:t xml:space="preserve"> </w:t>
      </w:r>
      <w:r>
        <w:t xml:space="preserve">or the resulting contract shall be resolved in accordance with the Queensland Civil and Administrative Tribunal (QCAT) procedures or, where the amount in dispute exceeds $75,000, in the Supreme Court of Queensland, Brisbane.</w:t>
      </w:r>
    </w:p>
    <w:p>
      <w:pPr>
        <w:numPr>
          <w:ilvl w:val="0"/>
          <w:numId w:val="1003"/>
        </w:numPr>
        <w:pStyle w:val="Compact"/>
      </w:pPr>
      <w:r>
        <w:t xml:space="preserve">All intellectual property created specifically for the client during the engagement shall vest in the client upon full payment. Pre-existing methodologies, templates, and tools remain the property of Apex Project Solutions Pty Ltd.</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Project Manager</w:t>
      </w:r>
      <w:r>
        <w:t xml:space="preserve"> </w:t>
      </w:r>
      <w:r>
        <w:t xml:space="preserve">to deliver services in</w:t>
      </w:r>
      <w:r>
        <w:t xml:space="preserve"> </w:t>
      </w:r>
      <w:r>
        <w:t xml:space="preserve">Australia Brisbane</w:t>
      </w:r>
      <w:r>
        <w:t xml:space="preserve"> </w:t>
      </w:r>
      <w:r>
        <w:t xml:space="preserve">on the terms and conditions set out herein. This acceptance constitutes a binding agreement between the parties.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Project Solutions Pty Ltd:</w:t>
      </w:r>
    </w:p>
    <w:p>
      <w:pPr>
        <w:pStyle w:val="BodyText"/>
      </w:pPr>
      <w:r>
        <w:t xml:space="preserve">Name: Michael T. Harrington</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Apex Project Solutions Pty Ltd | ABN 54 123 456 789 | 42 Creek Street, Brisbane QLD 4000, Australia</w:t>
      </w:r>
    </w:p>
    <w:p>
      <w:pPr>
        <w:pStyle w:val="BodyText"/>
      </w:pPr>
      <w:r>
        <w:t xml:space="preserve">Phone: +61 7 3210 4500 | Email: enquiries@apexprojectsolutions.com.au</w:t>
      </w:r>
    </w:p>
    <w:p>
      <w:pPr>
        <w:pStyle w:val="BodyText"/>
      </w:pPr>
      <w:r>
        <w:t xml:space="preserve">This Quotation Estimate is the property of Apex Project Solutions Pty Ltd and is issued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Australia Brisbane</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