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Belgium Brussels — European Capital Region</w:t>
      </w:r>
    </w:p>
    <w:bookmarkEnd w:id="20"/>
    <w:p>
      <w:pPr>
        <w:pStyle w:val="BodyText"/>
      </w:pPr>
      <w:r>
        <w:rPr>
          <w:bCs/>
          <w:b/>
        </w:rPr>
        <w:t xml:space="preserve">Quotation Reference:</w:t>
      </w:r>
      <w:r>
        <w:t xml:space="preserve"> </w:t>
      </w:r>
      <w:r>
        <w:t xml:space="preserve">QTE-BRU-2025-0472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Meridian Consulting Group BV</w:t>
      </w:r>
      <w:r>
        <w:br/>
      </w:r>
      <w:r>
        <w:rPr>
          <w:bCs/>
          <w:b/>
        </w:rPr>
        <w:t xml:space="preserve">Address:</w:t>
      </w:r>
      <w:r>
        <w:t xml:space="preserve"> </w:t>
      </w:r>
      <w:r>
        <w:t xml:space="preserve">Avenue Louise 245, 1050 Brussels, Belgium</w:t>
      </w:r>
      <w:r>
        <w:br/>
      </w:r>
      <w:r>
        <w:rPr>
          <w:bCs/>
          <w:b/>
        </w:rPr>
        <w:t xml:space="preserve">VAT No.:</w:t>
      </w:r>
      <w:r>
        <w:t xml:space="preserve"> </w:t>
      </w:r>
      <w:r>
        <w:t xml:space="preserve">BE 0765.432.109</w:t>
      </w:r>
    </w:p>
    <w:p>
      <w:pPr>
        <w:pStyle w:val="BodyText"/>
      </w:pPr>
      <w:r>
        <w:rPr>
          <w:bCs/>
          <w:b/>
        </w:rPr>
        <w:t xml:space="preserve">Prepared For:</w:t>
      </w:r>
      <w:r>
        <w:t xml:space="preserve"> </w:t>
      </w:r>
      <w:r>
        <w:t xml:space="preserve">[Client Name / Organisation]</w:t>
      </w:r>
      <w:r>
        <w:br/>
      </w:r>
      <w:r>
        <w:rPr>
          <w:bCs/>
          <w:b/>
        </w:rPr>
        <w:t xml:space="preserve">Address:</w:t>
      </w:r>
      <w:r>
        <w:t xml:space="preserve"> </w:t>
      </w:r>
      <w:r>
        <w:t xml:space="preserve">[Client Address], Brussels, Belgium</w:t>
      </w:r>
      <w:r>
        <w:br/>
      </w:r>
      <w:r>
        <w:rPr>
          <w:bCs/>
          <w:b/>
        </w:rPr>
        <w:t xml:space="preserve">Contact:</w:t>
      </w:r>
      <w:r>
        <w:t xml:space="preserve"> </w:t>
      </w:r>
      <w:r>
        <w:t xml:space="preserve">[Client Contact Person]</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Meridian Consulting Group BV to provide a comprehensive and transparent financial proposal for the engagement of a senior</w:t>
      </w:r>
      <w:r>
        <w:t xml:space="preserve"> </w:t>
      </w:r>
      <w:r>
        <w:t xml:space="preserve">Project Manager</w:t>
      </w:r>
      <w:r>
        <w:t xml:space="preserve"> </w:t>
      </w:r>
      <w:r>
        <w:t xml:space="preserve">to deliver end-to-end project management services within the</w:t>
      </w:r>
      <w:r>
        <w:t xml:space="preserve"> </w:t>
      </w:r>
      <w:r>
        <w:t xml:space="preserve">Belgium Brussels</w:t>
      </w:r>
      <w:r>
        <w:t xml:space="preserve"> </w:t>
      </w:r>
      <w:r>
        <w:t xml:space="preserve">metropolitan area. This document outlines the scope of work, deliverables, fee structure, and commercial terms governing the proposed engagement. The</w:t>
      </w:r>
      <w:r>
        <w:t xml:space="preserve"> </w:t>
      </w:r>
      <w:r>
        <w:t xml:space="preserve">Project Manager</w:t>
      </w:r>
      <w:r>
        <w:t xml:space="preserve"> </w:t>
      </w:r>
      <w:r>
        <w:t xml:space="preserve">will be embedded within the client's organisation to oversee planning, execution, monitoring, and closure of the designated project portfolio, ensuring full compliance with Belgian labour regulations, EU project governance standards, and the specific operational requirements of the Brussels business environment.</w:t>
      </w:r>
    </w:p>
    <w:bookmarkEnd w:id="21"/>
    <w:bookmarkStart w:id="22" w:name="scope-of-services"/>
    <w:p>
      <w:pPr>
        <w:pStyle w:val="Heading2"/>
      </w:pPr>
      <w:r>
        <w:t xml:space="preserve">2. Scope of Services</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will be responsible for the following core activities within the</w:t>
      </w:r>
      <w:r>
        <w:t xml:space="preserve"> </w:t>
      </w:r>
      <w:r>
        <w:t xml:space="preserve">Belgium Brussels</w:t>
      </w:r>
      <w:r>
        <w:t xml:space="preserve"> </w:t>
      </w:r>
      <w:r>
        <w:t xml:space="preserve">operational context:</w:t>
      </w:r>
    </w:p>
    <w:p>
      <w:pPr>
        <w:numPr>
          <w:ilvl w:val="0"/>
          <w:numId w:val="1001"/>
        </w:numPr>
        <w:pStyle w:val="Compact"/>
      </w:pPr>
      <w:r>
        <w:t xml:space="preserve">Development and maintenance of comprehensive project plans, work breakdown structures, and critical path schedules aligned with Belgian statutory deadlines.</w:t>
      </w:r>
    </w:p>
    <w:p>
      <w:pPr>
        <w:numPr>
          <w:ilvl w:val="0"/>
          <w:numId w:val="1001"/>
        </w:numPr>
        <w:pStyle w:val="Compact"/>
      </w:pPr>
      <w:r>
        <w:t xml:space="preserve">Coordination of cross-functional teams operating across Brussels-based offices and satellite locations within the Flemish and Walloon regions.</w:t>
      </w:r>
    </w:p>
    <w:p>
      <w:pPr>
        <w:numPr>
          <w:ilvl w:val="0"/>
          <w:numId w:val="1001"/>
        </w:numPr>
        <w:pStyle w:val="Compact"/>
      </w:pPr>
      <w:r>
        <w:t xml:space="preserve">Stakeholder management and regular reporting to the client's executive board, including monthly progress reviews conducted in Brussels.</w:t>
      </w:r>
    </w:p>
    <w:p>
      <w:pPr>
        <w:numPr>
          <w:ilvl w:val="0"/>
          <w:numId w:val="1001"/>
        </w:numPr>
        <w:pStyle w:val="Compact"/>
      </w:pPr>
      <w:r>
        <w:t xml:space="preserve">Risk identification, mitigation planning, and issue resolution in accordance with ISO 21502 project management standards.</w:t>
      </w:r>
    </w:p>
    <w:p>
      <w:pPr>
        <w:numPr>
          <w:ilvl w:val="0"/>
          <w:numId w:val="1001"/>
        </w:numPr>
        <w:pStyle w:val="Compact"/>
      </w:pPr>
      <w:r>
        <w:t xml:space="preserve">Budget oversight and financial tracking, ensuring adherence to the approved project budget and Belgian fiscal reporting requirements.</w:t>
      </w:r>
    </w:p>
    <w:p>
      <w:pPr>
        <w:numPr>
          <w:ilvl w:val="0"/>
          <w:numId w:val="1001"/>
        </w:numPr>
        <w:pStyle w:val="Compact"/>
      </w:pPr>
      <w:r>
        <w:t xml:space="preserve">Quality assurance and assurance activities, including deliverable acceptance criteria definition and verification.</w:t>
      </w:r>
    </w:p>
    <w:p>
      <w:pPr>
        <w:numPr>
          <w:ilvl w:val="0"/>
          <w:numId w:val="1001"/>
        </w:numPr>
        <w:pStyle w:val="Compact"/>
      </w:pPr>
      <w:r>
        <w:t xml:space="preserve">Compliance management with Belgian labour law, GDPR regulations, and any sector-specific regulatory obligations applicable in Brussels.</w:t>
      </w:r>
    </w:p>
    <w:p>
      <w:pPr>
        <w:numPr>
          <w:ilvl w:val="0"/>
          <w:numId w:val="1001"/>
        </w:numPr>
        <w:pStyle w:val="Compact"/>
      </w:pPr>
      <w:r>
        <w:t xml:space="preserve">Facilitation of project governance meetings, sprint planning sessions, and retrospective workshops.</w:t>
      </w:r>
    </w:p>
    <w:bookmarkEnd w:id="22"/>
    <w:bookmarkStart w:id="23" w:name="detailed-fee-schedule"/>
    <w:p>
      <w:pPr>
        <w:pStyle w:val="Heading2"/>
      </w:pPr>
      <w:r>
        <w:t xml:space="preserve">3. Detailed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Project Manager — Full-time engagement (40 hrs/week) for project initiation, planning, and execution phases in Belgium Brussels</w:t>
            </w:r>
          </w:p>
        </w:tc>
        <w:tc>
          <w:tcPr/>
          <w:p>
            <w:pPr>
              <w:pStyle w:val="Compact"/>
              <w:jc w:val="left"/>
            </w:pPr>
            <w:r>
              <w:t xml:space="preserve">6 months</w:t>
            </w:r>
          </w:p>
        </w:tc>
        <w:tc>
          <w:tcPr/>
          <w:p>
            <w:pPr>
              <w:pStyle w:val="Compact"/>
              <w:jc w:val="left"/>
            </w:pPr>
            <w:r>
              <w:t xml:space="preserve">€1,250 / day</w:t>
            </w:r>
          </w:p>
        </w:tc>
        <w:tc>
          <w:tcPr/>
          <w:p>
            <w:pPr>
              <w:pStyle w:val="Compact"/>
              <w:jc w:val="left"/>
            </w:pPr>
            <w:r>
              <w:t xml:space="preserve">€165,000.00</w:t>
            </w:r>
          </w:p>
        </w:tc>
      </w:tr>
      <w:tr>
        <w:tc>
          <w:tcPr/>
          <w:p>
            <w:pPr>
              <w:pStyle w:val="Compact"/>
              <w:jc w:val="left"/>
            </w:pPr>
            <w:r>
              <w:t xml:space="preserve">02</w:t>
            </w:r>
          </w:p>
        </w:tc>
        <w:tc>
          <w:tcPr/>
          <w:p>
            <w:pPr>
              <w:pStyle w:val="Compact"/>
              <w:jc w:val="left"/>
            </w:pPr>
            <w:r>
              <w:t xml:space="preserve">Project Manager — Part-time oversight (20 hrs/week) for project closure, handover, and post-implementation support</w:t>
            </w:r>
          </w:p>
        </w:tc>
        <w:tc>
          <w:tcPr/>
          <w:p>
            <w:pPr>
              <w:pStyle w:val="Compact"/>
              <w:jc w:val="left"/>
            </w:pPr>
            <w:r>
              <w:t xml:space="preserve">3 months</w:t>
            </w:r>
          </w:p>
        </w:tc>
        <w:tc>
          <w:tcPr/>
          <w:p>
            <w:pPr>
              <w:pStyle w:val="Compact"/>
              <w:jc w:val="left"/>
            </w:pPr>
            <w:r>
              <w:t xml:space="preserve">€1,100 / day</w:t>
            </w:r>
          </w:p>
        </w:tc>
        <w:tc>
          <w:tcPr/>
          <w:p>
            <w:pPr>
              <w:pStyle w:val="Compact"/>
              <w:jc w:val="left"/>
            </w:pPr>
            <w:r>
              <w:t xml:space="preserve">€44,550.00</w:t>
            </w:r>
          </w:p>
        </w:tc>
      </w:tr>
      <w:tr>
        <w:tc>
          <w:tcPr/>
          <w:p>
            <w:pPr>
              <w:pStyle w:val="Compact"/>
              <w:jc w:val="left"/>
            </w:pPr>
            <w:r>
              <w:t xml:space="preserve">03</w:t>
            </w:r>
          </w:p>
        </w:tc>
        <w:tc>
          <w:tcPr/>
          <w:p>
            <w:pPr>
              <w:pStyle w:val="Compact"/>
              <w:jc w:val="left"/>
            </w:pPr>
            <w:r>
              <w:t xml:space="preserve">Project governance framework development and documentation (one-time deliverable)</w:t>
            </w:r>
          </w:p>
        </w:tc>
        <w:tc>
          <w:tcPr/>
          <w:p>
            <w:pPr>
              <w:pStyle w:val="Compact"/>
              <w:jc w:val="left"/>
            </w:pPr>
            <w:r>
              <w:t xml:space="preserve">2 weeks</w:t>
            </w:r>
          </w:p>
        </w:tc>
        <w:tc>
          <w:tcPr/>
          <w:p>
            <w:pPr>
              <w:pStyle w:val="Compact"/>
              <w:jc w:val="left"/>
            </w:pPr>
            <w:r>
              <w:t xml:space="preserve">Fixed fee</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Stakeholder engagement workshops and training sessions conducted in Brussels</w:t>
            </w:r>
          </w:p>
        </w:tc>
        <w:tc>
          <w:tcPr/>
          <w:p>
            <w:pPr>
              <w:pStyle w:val="Compact"/>
              <w:jc w:val="left"/>
            </w:pPr>
            <w:r>
              <w:t xml:space="preserve">4 sessions</w:t>
            </w:r>
          </w:p>
        </w:tc>
        <w:tc>
          <w:tcPr/>
          <w:p>
            <w:pPr>
              <w:pStyle w:val="Compact"/>
              <w:jc w:val="left"/>
            </w:pPr>
            <w:r>
              <w:t xml:space="preserve">€1,800 / session</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Travel and local transportation within Belgium Brussels and surrounding provinces</w:t>
            </w:r>
          </w:p>
        </w:tc>
        <w:tc>
          <w:tcPr/>
          <w:p>
            <w:pPr>
              <w:pStyle w:val="Compact"/>
              <w:jc w:val="left"/>
            </w:pPr>
            <w:r>
              <w:t xml:space="preserve">9 months</w:t>
            </w:r>
          </w:p>
        </w:tc>
        <w:tc>
          <w:tcPr/>
          <w:p>
            <w:pPr>
              <w:pStyle w:val="Compact"/>
              <w:jc w:val="left"/>
            </w:pPr>
            <w:r>
              <w:t xml:space="preserve">€450 / month</w:t>
            </w:r>
          </w:p>
        </w:tc>
        <w:tc>
          <w:tcPr/>
          <w:p>
            <w:pPr>
              <w:pStyle w:val="Compact"/>
              <w:jc w:val="left"/>
            </w:pPr>
            <w:r>
              <w:t xml:space="preserve">€4,050.00</w:t>
            </w:r>
          </w:p>
        </w:tc>
      </w:tr>
      <w:tr>
        <w:tc>
          <w:tcPr/>
          <w:p>
            <w:pPr>
              <w:pStyle w:val="Compact"/>
              <w:jc w:val="left"/>
            </w:pPr>
            <w:r>
              <w:t xml:space="preserve">06</w:t>
            </w:r>
          </w:p>
        </w:tc>
        <w:tc>
          <w:tcPr/>
          <w:p>
            <w:pPr>
              <w:pStyle w:val="Compact"/>
              <w:jc w:val="left"/>
            </w:pPr>
            <w:r>
              <w:t xml:space="preserve">Project management software licensing (MS Project, Jira, Confluence) — 9-month subscription</w:t>
            </w:r>
          </w:p>
        </w:tc>
        <w:tc>
          <w:tcPr/>
          <w:p>
            <w:pPr>
              <w:pStyle w:val="Compact"/>
              <w:jc w:val="left"/>
            </w:pPr>
            <w:r>
              <w:t xml:space="preserve">9 months</w:t>
            </w:r>
          </w:p>
        </w:tc>
        <w:tc>
          <w:tcPr/>
          <w:p>
            <w:pPr>
              <w:pStyle w:val="Compact"/>
              <w:jc w:val="left"/>
            </w:pPr>
            <w:r>
              <w:t xml:space="preserve">€320 / month</w:t>
            </w:r>
          </w:p>
        </w:tc>
        <w:tc>
          <w:tcPr/>
          <w:p>
            <w:pPr>
              <w:pStyle w:val="Compact"/>
              <w:jc w:val="left"/>
            </w:pPr>
            <w:r>
              <w:t xml:space="preserve">€2,880.00</w:t>
            </w:r>
          </w:p>
        </w:tc>
      </w:tr>
      <w:tr>
        <w:tc>
          <w:tcPr/>
          <w:p>
            <w:pPr>
              <w:pStyle w:val="Compact"/>
              <w:jc w:val="left"/>
            </w:pPr>
            <w:r>
              <w:t xml:space="preserve">07</w:t>
            </w:r>
          </w:p>
        </w:tc>
        <w:tc>
          <w:tcPr/>
          <w:p>
            <w:pPr>
              <w:pStyle w:val="Compact"/>
              <w:jc w:val="left"/>
            </w:pPr>
            <w:r>
              <w:t xml:space="preserve">Contingency allowance (5% of subtotal) for scope adjustments</w:t>
            </w:r>
          </w:p>
        </w:tc>
        <w:tc>
          <w:tcPr/>
          <w:p>
            <w:pPr>
              <w:pStyle w:val="Compact"/>
              <w:jc w:val="left"/>
            </w:pPr>
            <w:r>
              <w:t xml:space="preserve">—</w:t>
            </w:r>
          </w:p>
        </w:tc>
        <w:tc>
          <w:tcPr/>
          <w:p>
            <w:pPr>
              <w:pStyle w:val="Compact"/>
              <w:jc w:val="left"/>
            </w:pPr>
            <w:r>
              <w:t xml:space="preserve">—</w:t>
            </w:r>
          </w:p>
        </w:tc>
        <w:tc>
          <w:tcPr/>
          <w:p>
            <w:pPr>
              <w:pStyle w:val="Compact"/>
              <w:jc w:val="left"/>
            </w:pPr>
            <w:r>
              <w:t xml:space="preserve">€11,559.00</w:t>
            </w:r>
          </w:p>
        </w:tc>
      </w:tr>
      <w:tr>
        <w:tc>
          <w:tcPr>
            <w:gridSpan w:val="4"/>
          </w:tcPr>
          <w:p>
            <w:pPr>
              <w:pStyle w:val="Compact"/>
              <w:jc w:val="left"/>
            </w:pPr>
            <w:r>
              <w:t xml:space="preserve">TOTAL ESTIMATED COST (excl. VAT)</w:t>
            </w:r>
          </w:p>
        </w:tc>
        <w:tc>
          <w:tcPr/>
          <w:p>
            <w:pPr>
              <w:pStyle w:val="Compact"/>
              <w:jc w:val="left"/>
            </w:pPr>
            <w:r>
              <w:t xml:space="preserve">€243,739.00</w:t>
            </w:r>
          </w:p>
        </w:tc>
      </w:tr>
      <w:tr>
        <w:tc>
          <w:tcPr>
            <w:gridSpan w:val="4"/>
          </w:tcPr>
          <w:p>
            <w:pPr>
              <w:pStyle w:val="Compact"/>
              <w:jc w:val="left"/>
            </w:pPr>
            <w:r>
              <w:t xml:space="preserve">VAT (21% — Belgian standard rate)</w:t>
            </w:r>
          </w:p>
        </w:tc>
        <w:tc>
          <w:tcPr/>
          <w:p>
            <w:pPr>
              <w:pStyle w:val="Compact"/>
              <w:jc w:val="left"/>
            </w:pPr>
            <w:r>
              <w:t xml:space="preserve">€51,185.19</w:t>
            </w:r>
          </w:p>
        </w:tc>
      </w:tr>
      <w:tr>
        <w:tc>
          <w:tcPr>
            <w:gridSpan w:val="4"/>
          </w:tcPr>
          <w:p>
            <w:pPr>
              <w:pStyle w:val="Compact"/>
              <w:jc w:val="left"/>
            </w:pPr>
            <w:r>
              <w:t xml:space="preserve">GRAND TOTAL (incl. VAT)</w:t>
            </w:r>
          </w:p>
        </w:tc>
        <w:tc>
          <w:tcPr/>
          <w:p>
            <w:pPr>
              <w:pStyle w:val="Compact"/>
              <w:jc w:val="left"/>
            </w:pPr>
            <w:r>
              <w:t xml:space="preserve">€294,924.19</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monthly instalments, invoiced on the last working day of each calendar month. The first invoice will cover the initial mobilisation period. A 10% mobilisation advance payment is required upon contract signature. All payments are due within 30 days of invoice date via bank transfer to the Meridian Consulting Group BV account at KBC Bank, Brussels. Late payments shall accrue interest at the rate prescribed by Belgian law (Article 5:111 of the Belgian Code of Economic Law).</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30 calendar days from the date of issue. Beyond this period, rates and availability of the Project Manager may be subject to revision.</w:t>
      </w:r>
    </w:p>
    <w:p>
      <w:pPr>
        <w:pStyle w:val="BodyText"/>
      </w:pPr>
      <w:r>
        <w:rPr>
          <w:bCs/>
          <w:b/>
        </w:rPr>
        <w:t xml:space="preserve">5.2 Scope Changes:</w:t>
      </w:r>
      <w:r>
        <w:t xml:space="preserve"> </w:t>
      </w:r>
      <w:r>
        <w:t xml:space="preserve">Any modification to the defined scope of work must be agreed upon in writing by both parties. Additional work will be billed at the daily rates specified in Section 3 of this Quotation Estimate.</w:t>
      </w:r>
    </w:p>
    <w:p>
      <w:pPr>
        <w:pStyle w:val="BodyText"/>
      </w:pPr>
      <w:r>
        <w:rPr>
          <w:bCs/>
          <w:b/>
        </w:rPr>
        <w:t xml:space="preserve">5.3 Confidentiality:</w:t>
      </w:r>
      <w:r>
        <w:t xml:space="preserve"> </w:t>
      </w:r>
      <w:r>
        <w:t xml:space="preserve">The Project Manager shall maintain strict confidentiality regarding all client information, project data, and proprietary materials encountered during the engagement in Belgium Brussels. A separate Non-Disclosure Agreement (NDA) will be executed prior to commencement.</w:t>
      </w:r>
    </w:p>
    <w:p>
      <w:pPr>
        <w:pStyle w:val="BodyText"/>
      </w:pPr>
      <w:r>
        <w:rPr>
          <w:bCs/>
          <w:b/>
        </w:rPr>
        <w:t xml:space="preserve">5.4 Termination:</w:t>
      </w:r>
      <w:r>
        <w:t xml:space="preserve"> </w:t>
      </w:r>
      <w:r>
        <w:t xml:space="preserve">Either party may terminate the engagement with 30 days' written notice. In the event of early termination, the client shall be liable for all services rendered up to the termination date plus a 10% cancellation fee on the remaining contract value.</w:t>
      </w:r>
    </w:p>
    <w:p>
      <w:pPr>
        <w:pStyle w:val="BodyText"/>
      </w:pPr>
      <w:r>
        <w:rPr>
          <w:bCs/>
          <w:b/>
        </w:rPr>
        <w:t xml:space="preserve">5.5 Governing Law:</w:t>
      </w:r>
      <w:r>
        <w:t xml:space="preserve"> </w:t>
      </w:r>
      <w:r>
        <w:t xml:space="preserve">This Quotation Estimate and any resulting contract shall be governed by and construed in accordance with the laws of the Kingdom of Belgium. Any disputes shall be submitted to the exclusive jurisdiction of the Commercial Court of Brussels.</w:t>
      </w:r>
    </w:p>
    <w:p>
      <w:pPr>
        <w:pStyle w:val="BodyText"/>
      </w:pPr>
      <w:r>
        <w:rPr>
          <w:bCs/>
          <w:b/>
        </w:rPr>
        <w:t xml:space="preserve">5.6 Insurance:</w:t>
      </w:r>
      <w:r>
        <w:t xml:space="preserve"> </w:t>
      </w:r>
      <w:r>
        <w:t xml:space="preserve">Meridian Consulting Group BV maintains professional indemnity insurance with a coverage of €5,000,000 per claim, valid throughout the territory of Belgium and the European Union.</w:t>
      </w:r>
    </w:p>
    <w:p>
      <w:pPr>
        <w:pStyle w:val="BodyText"/>
      </w:pPr>
      <w:r>
        <w:rPr>
          <w:bCs/>
          <w:b/>
        </w:rPr>
        <w:t xml:space="preserve">Note:</w:t>
      </w:r>
      <w:r>
        <w:t xml:space="preserve"> </w:t>
      </w:r>
      <w:r>
        <w:t xml:space="preserve">This Quotation Estimate assumes that the client will provide a dedicated workspace, IT infrastructure, and access to all necessary project documentation at their Brussels premises. The Project Manager will work on-site in Belgium Brussels for a minimum of four (4) days per week, with one (1) day allocated for remote work or travel to other Belgian locations as required.</w:t>
      </w:r>
    </w:p>
    <w:bookmarkEnd w:id="25"/>
    <w:bookmarkStart w:id="26" w:name="acceptance-and-signatures"/>
    <w:p>
      <w:pPr>
        <w:pStyle w:val="Heading2"/>
      </w:pPr>
      <w:r>
        <w:t xml:space="preserve">6. Acceptance and Signatures</w:t>
      </w:r>
    </w:p>
    <w:p>
      <w:pPr>
        <w:pStyle w:val="FirstParagraph"/>
      </w:pPr>
      <w:r>
        <w:t xml:space="preserve">By signing below, both parties acknowledge and accept the terms, conditions, and financial provisions set forth in this</w:t>
      </w:r>
      <w:r>
        <w:t xml:space="preserve"> </w:t>
      </w:r>
      <w:r>
        <w:t xml:space="preserve">Quotation Estimate</w:t>
      </w:r>
      <w:r>
        <w:t xml:space="preserve"> </w:t>
      </w:r>
      <w:r>
        <w:t xml:space="preserve">for the engagement of the</w:t>
      </w:r>
      <w:r>
        <w:t xml:space="preserve"> </w:t>
      </w:r>
      <w:r>
        <w:t xml:space="preserve">Project Manager</w:t>
      </w:r>
      <w:r>
        <w:t xml:space="preserve"> </w:t>
      </w:r>
      <w:r>
        <w:t xml:space="preserve">in</w:t>
      </w:r>
      <w:r>
        <w:t xml:space="preserve"> </w:t>
      </w:r>
      <w:r>
        <w:t xml:space="preserve">Belgium Brussels</w:t>
      </w:r>
      <w:r>
        <w:t xml:space="preserve">. This document, once countersigned, constitutes a binding commercial agreement between the parties.</w:t>
      </w:r>
    </w:p>
    <w:p>
      <w:pPr>
        <w:pStyle w:val="BodyText"/>
      </w:pPr>
      <w:r>
        <w:rPr>
          <w:bCs/>
          <w:b/>
        </w:rPr>
        <w:t xml:space="preserve">For Meridian Consulting Group BV</w:t>
      </w:r>
    </w:p>
    <w:p>
      <w:pPr>
        <w:pStyle w:val="BodyText"/>
      </w:pPr>
      <w:r>
        <w:t xml:space="preserve">Name: _________________________</w:t>
      </w:r>
      <w:r>
        <w:br/>
      </w:r>
      <w:r>
        <w:t xml:space="preserve">Title: Managing Director</w:t>
      </w:r>
      <w:r>
        <w:br/>
      </w:r>
      <w:r>
        <w:t xml:space="preserve">Date: _________________________</w:t>
      </w:r>
      <w:r>
        <w:br/>
      </w:r>
      <w:r>
        <w:t xml:space="preserve">Signature &amp; Company Stamp:</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&amp; Company Stamp:</w:t>
      </w:r>
    </w:p>
    <w:p>
      <w:pPr>
        <w:pStyle w:val="BodyText"/>
      </w:pPr>
      <w:r>
        <w:t xml:space="preserve">Quotation Estimate QTE-BRU-2025-0472 | Meridian Consulting Group BV | Avenue Louise 245, 1050 Brussels, Belgium</w:t>
      </w:r>
    </w:p>
    <w:p>
      <w:pPr>
        <w:pStyle w:val="BodyText"/>
      </w:pPr>
      <w:r>
        <w:t xml:space="preserve">This document is the property of Meridian Consulting Group BV and is intended solely for the named recipient. Unauthorised reproduction or distribution is prohibited under Belgian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Belgium Brussels</dc:title>
  <dc:creator/>
  <dc:language>en</dc:language>
  <cp:keywords/>
  <dcterms:created xsi:type="dcterms:W3CDTF">2026-10-10T02:40:15Z</dcterms:created>
  <dcterms:modified xsi:type="dcterms:W3CDTF">2026-10-10T02:40:15Z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