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QTE-2025-BRJ-0047</w:t>
      </w:r>
    </w:p>
    <w:p>
      <w:pPr>
        <w:pStyle w:val="BodyText"/>
      </w:pPr>
      <w:r>
        <w:t xml:space="preserve">Professional Project Manager Services</w:t>
      </w:r>
    </w:p>
    <w:p>
      <w:pPr>
        <w:pStyle w:val="BodyText"/>
      </w:pPr>
      <w:r>
        <w:t xml:space="preserve">Location: Brazil, Rio de Janeiro</w:t>
      </w:r>
    </w:p>
    <w:bookmarkEnd w:id="20"/>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w:t>
      </w:r>
    </w:p>
    <w:p>
      <w:pPr>
        <w:pStyle w:val="BodyText"/>
      </w:pPr>
      <w:r>
        <w:t xml:space="preserve">Prepared For:</w:t>
      </w:r>
      <w:r>
        <w:t xml:space="preserve"> </w:t>
      </w:r>
      <w:r>
        <w:t xml:space="preserve">Client Organization</w:t>
      </w:r>
    </w:p>
    <w:p>
      <w:pPr>
        <w:pStyle w:val="BodyText"/>
      </w:pPr>
      <w:r>
        <w:t xml:space="preserve">Prepared By:</w:t>
      </w:r>
      <w:r>
        <w:t xml:space="preserve"> </w:t>
      </w:r>
      <w:r>
        <w:t xml:space="preserve">Apex Consulting Group Ltda.</w:t>
      </w:r>
    </w:p>
    <w:bookmarkStart w:id="21" w:name="introduction-and-purpose"/>
    <w:p>
      <w:pPr>
        <w:pStyle w:val="Heading2"/>
      </w:pPr>
      <w:r>
        <w:t xml:space="preserve">1. Introduction and Purpose</w:t>
      </w:r>
    </w:p>
    <w:p>
      <w:pPr>
        <w:pStyle w:val="FirstParagraph"/>
      </w:pPr>
      <w:r>
        <w:t xml:space="preserve">This Quotation Estimate document is formally issued by Apex Consulting Group Ltda., a specialized management consultancy operating in Brazil Rio de Janeiro, to provide a comprehensive and transparent financial proposal for the engagement of a senior Project Manager. The purpose of this Quotation Estimate is to outline the scope of services, deliverables, associated costs, and contractual terms governing the professional engagement. This document has been specifically tailored to address the operational, regulatory, and cultural requirements of delivering project management services within the Brazil Rio de Janeiro metropolitan area, where local labor laws, tax structures, and business practices must be fully considered.</w:t>
      </w:r>
    </w:p>
    <w:bookmarkEnd w:id="21"/>
    <w:bookmarkStart w:id="22" w:name="X98d2de802d335042e5d503f69772bbc81a70d17"/>
    <w:p>
      <w:pPr>
        <w:pStyle w:val="Heading2"/>
      </w:pPr>
      <w:r>
        <w:t xml:space="preserve">2. Scope of Services – Project Manager Engagement</w:t>
      </w:r>
    </w:p>
    <w:p>
      <w:pPr>
        <w:pStyle w:val="FirstParagraph"/>
      </w:pPr>
      <w:r>
        <w:t xml:space="preserve">The Project Manager to be engaged under this Quotation Estimate will be responsible for the end-to-end planning, execution, monitoring, and closure of the client's designated project portfolio. The Project Manager will operate primarily from the Brazil Rio de Janeiro office, ensuring full compliance with local labor regulations, including adherence to the Brazilian Consolidation of Labor Laws (CLT) and applicable municipal ordinances. The Project Manager will serve as the single point of accountability for schedule adherence, budget control, stakeholder communication, risk mitigation, and quality assurance throughout the project lifecycle.</w:t>
      </w:r>
    </w:p>
    <w:p>
      <w:pPr>
        <w:pStyle w:val="BodyText"/>
      </w:pPr>
      <w:r>
        <w:t xml:space="preserve">Key responsibilities of the Project Manager under this engagement include: developing and maintaining the master project plan; coordinating cross-functional teams across multiple departments; managing vendor and subcontractor relationships within the Brazil Rio de Janeiro market; conducting weekly status reporting to senior leadership; facilitating change control processes; and ensuring all deliverables meet the agreed-upon quality standards. The Project Manager will also be responsible for navigating the specific regulatory environment of Brazil Rio de Janeiro, including municipal permitting, environmental compliance, and local procurement requirements.</w:t>
      </w:r>
    </w:p>
    <w:bookmarkEnd w:id="22"/>
    <w:bookmarkStart w:id="23" w:name="financial-breakdown"/>
    <w:p>
      <w:pPr>
        <w:pStyle w:val="Heading2"/>
      </w:pPr>
      <w:r>
        <w:t xml:space="preserve">3. Financial Breakdown</w:t>
      </w:r>
    </w:p>
    <w:p>
      <w:pPr>
        <w:pStyle w:val="FirstParagraph"/>
      </w:pPr>
      <w:r>
        <w:t xml:space="preserve">The following table presents the itemized cost structure for this Quotation Estimate. All monetary values are expressed in Brazilian Reais (BRL) unless otherwise indicated. Pricing reflects the current market rates for a senior Project Manager in Brazil Rio de Janeiro, inclusive of applicable social security contributions (INSS), payroll taxes, and professional liability insurance.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(BRL)</w:t>
            </w:r>
          </w:p>
        </w:tc>
        <w:tc>
          <w:tcPr/>
          <w:p>
            <w:pPr>
              <w:pStyle w:val="Compact"/>
              <w:jc w:val="left"/>
            </w:pPr>
            <w:r>
              <w:t xml:space="preserve">Total (BRL)</w:t>
            </w:r>
          </w:p>
        </w:tc>
      </w:tr>
      <w:tr>
        <w:tc>
          <w:tcPr/>
          <w:p>
            <w:pPr>
              <w:pStyle w:val="Compact"/>
              <w:jc w:val="left"/>
            </w:pPr>
            <w:r>
              <w:t xml:space="preserve">1.1</w:t>
            </w:r>
          </w:p>
        </w:tc>
        <w:tc>
          <w:tcPr/>
          <w:p>
            <w:pPr>
              <w:pStyle w:val="Compact"/>
              <w:jc w:val="left"/>
            </w:pPr>
            <w:r>
              <w:t xml:space="preserve">Senior Project Manager – Monthly Professional Fee</w:t>
            </w:r>
          </w:p>
        </w:tc>
        <w:tc>
          <w:tcPr/>
          <w:p>
            <w:pPr>
              <w:pStyle w:val="Compact"/>
              <w:jc w:val="left"/>
            </w:pPr>
            <w:r>
              <w:t xml:space="preserve">12 months</w:t>
            </w:r>
          </w:p>
        </w:tc>
        <w:tc>
          <w:tcPr/>
          <w:p>
            <w:pPr>
              <w:pStyle w:val="Compact"/>
              <w:jc w:val="left"/>
            </w:pPr>
            <w:r>
              <w:t xml:space="preserve">R$ 28,500.00</w:t>
            </w:r>
          </w:p>
        </w:tc>
        <w:tc>
          <w:tcPr/>
          <w:p>
            <w:pPr>
              <w:pStyle w:val="Compact"/>
              <w:jc w:val="left"/>
            </w:pPr>
            <w:r>
              <w:t xml:space="preserve">R$ 342,000.00</w:t>
            </w:r>
          </w:p>
        </w:tc>
      </w:tr>
      <w:tr>
        <w:tc>
          <w:tcPr/>
          <w:p>
            <w:pPr>
              <w:pStyle w:val="Compact"/>
              <w:jc w:val="left"/>
            </w:pPr>
            <w:r>
              <w:t xml:space="preserve">1.2</w:t>
            </w:r>
          </w:p>
        </w:tc>
        <w:tc>
          <w:tcPr/>
          <w:p>
            <w:pPr>
              <w:pStyle w:val="Compact"/>
              <w:jc w:val="left"/>
            </w:pPr>
            <w:r>
              <w:t xml:space="preserve">Project Management Software &amp; Tools License</w:t>
            </w:r>
          </w:p>
        </w:tc>
        <w:tc>
          <w:tcPr/>
          <w:p>
            <w:pPr>
              <w:pStyle w:val="Compact"/>
              <w:jc w:val="left"/>
            </w:pPr>
            <w:r>
              <w:t xml:space="preserve">12 months</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1.3</w:t>
            </w:r>
          </w:p>
        </w:tc>
        <w:tc>
          <w:tcPr/>
          <w:p>
            <w:pPr>
              <w:pStyle w:val="Compact"/>
              <w:jc w:val="left"/>
            </w:pPr>
            <w:r>
              <w:t xml:space="preserve">Local Travel &amp; Site Visits (Brazil Rio de Janeiro)</w:t>
            </w:r>
          </w:p>
        </w:tc>
        <w:tc>
          <w:tcPr/>
          <w:p>
            <w:pPr>
              <w:pStyle w:val="Compact"/>
              <w:jc w:val="left"/>
            </w:pPr>
            <w:r>
              <w:t xml:space="preserve">12 months</w:t>
            </w:r>
          </w:p>
        </w:tc>
        <w:tc>
          <w:tcPr/>
          <w:p>
            <w:pPr>
              <w:pStyle w:val="Compact"/>
              <w:jc w:val="left"/>
            </w:pPr>
            <w:r>
              <w:t xml:space="preserve">R$ 1,800.00</w:t>
            </w:r>
          </w:p>
        </w:tc>
        <w:tc>
          <w:tcPr/>
          <w:p>
            <w:pPr>
              <w:pStyle w:val="Compact"/>
              <w:jc w:val="left"/>
            </w:pPr>
            <w:r>
              <w:t xml:space="preserve">R$ 21,600.00</w:t>
            </w:r>
          </w:p>
        </w:tc>
      </w:tr>
      <w:tr>
        <w:tc>
          <w:tcPr/>
          <w:p>
            <w:pPr>
              <w:pStyle w:val="Compact"/>
              <w:jc w:val="left"/>
            </w:pPr>
            <w:r>
              <w:t xml:space="preserve">1.4</w:t>
            </w:r>
          </w:p>
        </w:tc>
        <w:tc>
          <w:tcPr/>
          <w:p>
            <w:pPr>
              <w:pStyle w:val="Compact"/>
              <w:jc w:val="left"/>
            </w:pPr>
            <w:r>
              <w:t xml:space="preserve">Stakeholder Workshops &amp; Training Sessions</w:t>
            </w:r>
          </w:p>
        </w:tc>
        <w:tc>
          <w:tcPr/>
          <w:p>
            <w:pPr>
              <w:pStyle w:val="Compact"/>
              <w:jc w:val="left"/>
            </w:pPr>
            <w:r>
              <w:t xml:space="preserve">4 sessions</w:t>
            </w:r>
          </w:p>
        </w:tc>
        <w:tc>
          <w:tcPr/>
          <w:p>
            <w:pPr>
              <w:pStyle w:val="Compact"/>
              <w:jc w:val="left"/>
            </w:pPr>
            <w:r>
              <w:t xml:space="preserve">R$ 6,500.00</w:t>
            </w:r>
          </w:p>
        </w:tc>
        <w:tc>
          <w:tcPr/>
          <w:p>
            <w:pPr>
              <w:pStyle w:val="Compact"/>
              <w:jc w:val="left"/>
            </w:pPr>
            <w:r>
              <w:t xml:space="preserve">R$ 26,000.00</w:t>
            </w:r>
          </w:p>
        </w:tc>
      </w:tr>
      <w:tr>
        <w:tc>
          <w:tcPr/>
          <w:p>
            <w:pPr>
              <w:pStyle w:val="Compact"/>
              <w:jc w:val="left"/>
            </w:pPr>
            <w:r>
              <w:t xml:space="preserve">1.5</w:t>
            </w:r>
          </w:p>
        </w:tc>
        <w:tc>
          <w:tcPr/>
          <w:p>
            <w:pPr>
              <w:pStyle w:val="Compact"/>
              <w:jc w:val="left"/>
            </w:pPr>
            <w:r>
              <w:t xml:space="preserve">Risk Assessment &amp; Compliance Review (Local Regulations)</w:t>
            </w:r>
          </w:p>
        </w:tc>
        <w:tc>
          <w:tcPr/>
          <w:p>
            <w:pPr>
              <w:pStyle w:val="Compact"/>
              <w:jc w:val="left"/>
            </w:pPr>
            <w:r>
              <w:t xml:space="preserve">One-time</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1.6</w:t>
            </w:r>
          </w:p>
        </w:tc>
        <w:tc>
          <w:tcPr/>
          <w:p>
            <w:pPr>
              <w:pStyle w:val="Compact"/>
              <w:jc w:val="left"/>
            </w:pPr>
            <w:r>
              <w:t xml:space="preserve">Professional Liability Insurance (Project Manager)</w:t>
            </w:r>
          </w:p>
        </w:tc>
        <w:tc>
          <w:tcPr/>
          <w:p>
            <w:pPr>
              <w:pStyle w:val="Compact"/>
              <w:jc w:val="left"/>
            </w:pPr>
            <w:r>
              <w:t xml:space="preserve">12 months</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1.7</w:t>
            </w:r>
          </w:p>
        </w:tc>
        <w:tc>
          <w:tcPr/>
          <w:p>
            <w:pPr>
              <w:pStyle w:val="Compact"/>
              <w:jc w:val="left"/>
            </w:pPr>
            <w:r>
              <w:t xml:space="preserve">Administrative &amp; Coordination Overhead</w:t>
            </w:r>
          </w:p>
        </w:tc>
        <w:tc>
          <w:tcPr/>
          <w:p>
            <w:pPr>
              <w:pStyle w:val="Compact"/>
              <w:jc w:val="left"/>
            </w:pPr>
            <w:r>
              <w:t xml:space="preserve">12 months</w:t>
            </w:r>
          </w:p>
        </w:tc>
        <w:tc>
          <w:tcPr/>
          <w:p>
            <w:pPr>
              <w:pStyle w:val="Compact"/>
              <w:jc w:val="left"/>
            </w:pPr>
            <w:r>
              <w:t xml:space="preserve">R$ 2,100.00</w:t>
            </w:r>
          </w:p>
        </w:tc>
        <w:tc>
          <w:tcPr/>
          <w:p>
            <w:pPr>
              <w:pStyle w:val="Compact"/>
              <w:jc w:val="left"/>
            </w:pPr>
            <w:r>
              <w:t xml:space="preserve">R$ 25,200.00</w:t>
            </w:r>
          </w:p>
        </w:tc>
      </w:tr>
      <w:tr>
        <w:tc>
          <w:tcPr>
            <w:gridSpan w:val="4"/>
          </w:tcPr>
          <w:p>
            <w:pPr>
              <w:pStyle w:val="Compact"/>
              <w:jc w:val="left"/>
            </w:pPr>
            <w:r>
              <w:t xml:space="preserve">Subtotal (Before Taxes)</w:t>
            </w:r>
          </w:p>
        </w:tc>
        <w:tc>
          <w:tcPr/>
          <w:p>
            <w:pPr>
              <w:pStyle w:val="Compact"/>
              <w:jc w:val="left"/>
            </w:pPr>
            <w:r>
              <w:t xml:space="preserve">R$ 470,700.00</w:t>
            </w:r>
          </w:p>
        </w:tc>
      </w:tr>
      <w:tr>
        <w:tc>
          <w:tcPr>
            <w:gridSpan w:val="4"/>
          </w:tcPr>
          <w:p>
            <w:pPr>
              <w:pStyle w:val="Compact"/>
              <w:jc w:val="left"/>
            </w:pPr>
            <w:r>
              <w:t xml:space="preserve">Applicable Taxes (ISS, PIS, COFINS – Brazil Rio de Janeiro)</w:t>
            </w:r>
          </w:p>
        </w:tc>
        <w:tc>
          <w:tcPr/>
          <w:p>
            <w:pPr>
              <w:pStyle w:val="Compact"/>
              <w:jc w:val="left"/>
            </w:pPr>
            <w:r>
              <w:t xml:space="preserve">R$ 56,484.00</w:t>
            </w:r>
          </w:p>
        </w:tc>
      </w:tr>
      <w:tr>
        <w:tc>
          <w:tcPr>
            <w:gridSpan w:val="4"/>
          </w:tcPr>
          <w:p>
            <w:pPr>
              <w:pStyle w:val="Compact"/>
              <w:jc w:val="left"/>
            </w:pPr>
            <w:r>
              <w:t xml:space="preserve">GRAND TOTAL</w:t>
            </w:r>
          </w:p>
        </w:tc>
        <w:tc>
          <w:tcPr/>
          <w:p>
            <w:pPr>
              <w:pStyle w:val="Compact"/>
              <w:jc w:val="left"/>
            </w:pPr>
            <w:r>
              <w:t xml:space="preserve">R$ 527,184.00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 Quotation Estimate shall be made in monthly installments, due on the 5th business day of each month following the service period. The initial payment, covering the first month of the Project Manager engagement, shall be due within ten (10) business days of contract execution. All payments shall be made via bank transfer to the account designated by Apex Consulting Group Ltda., registered in Brazil Rio de Janeiro. Late payments shall incur a monthly interest charge of 1% plus a 2% administrative penalty, in accordance with Brazilian commercial law.</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After this period, pricing may be subject to revision based on market conditions in Brazil Rio de Janeiro.</w:t>
      </w:r>
    </w:p>
    <w:p>
      <w:pPr>
        <w:numPr>
          <w:ilvl w:val="0"/>
          <w:numId w:val="1001"/>
        </w:numPr>
        <w:pStyle w:val="Compact"/>
      </w:pPr>
      <w:r>
        <w:t xml:space="preserve">The Project Manager engagement is governed by the terms of the Master Service Agreement (MSA) between the parties, which shall be executed concurrently with the acceptance of this Quotation Estimate.</w:t>
      </w:r>
    </w:p>
    <w:p>
      <w:pPr>
        <w:numPr>
          <w:ilvl w:val="0"/>
          <w:numId w:val="1001"/>
        </w:numPr>
        <w:pStyle w:val="Compact"/>
      </w:pPr>
      <w:r>
        <w:t xml:space="preserve">Either party may terminate the Project Manager engagement with a thirty (30) day written notice. In the event of early termination, a pro-rata settlement of all accrued and unaccrued fees shall be processed.</w:t>
      </w:r>
    </w:p>
    <w:p>
      <w:pPr>
        <w:numPr>
          <w:ilvl w:val="0"/>
          <w:numId w:val="1001"/>
        </w:numPr>
        <w:pStyle w:val="Compact"/>
      </w:pPr>
      <w:r>
        <w:t xml:space="preserve">All intellectual property developed by the Project Manager during the course of this engagement shall vest in the client upon full payment of all fees specified in this Quotation Estimate.</w:t>
      </w:r>
    </w:p>
    <w:p>
      <w:pPr>
        <w:numPr>
          <w:ilvl w:val="0"/>
          <w:numId w:val="1001"/>
        </w:numPr>
        <w:pStyle w:val="Compact"/>
      </w:pPr>
      <w:r>
        <w:t xml:space="preserve">The Project Manager shall maintain strict confidentiality regarding all client information, project data, and proprietary materials, in compliance with Brazil's General Data Protection Law (LGPD).</w:t>
      </w:r>
    </w:p>
    <w:p>
      <w:pPr>
        <w:numPr>
          <w:ilvl w:val="0"/>
          <w:numId w:val="1001"/>
        </w:numPr>
        <w:pStyle w:val="Compact"/>
      </w:pPr>
      <w:r>
        <w:t xml:space="preserve">Any disputes arising from this Quotation Estimate or the resulting engagement shall be resolved through arbitration in Brazil Rio de Janeiro, in accordance with the rules of the Brazilian Arbitration Association (CAM-CCBC).</w:t>
      </w:r>
    </w:p>
    <w:p>
      <w:pPr>
        <w:numPr>
          <w:ilvl w:val="0"/>
          <w:numId w:val="1001"/>
        </w:numPr>
        <w:pStyle w:val="Compact"/>
      </w:pPr>
      <w:r>
        <w:t xml:space="preserve">This Quotation Estimate does not constitute a binding contract until formally accepted in writing by both parties and countersigned by authorized representatives.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financial obligations outlined herein for the Project Manager services to be delivered in Brazil Rio de Janeiro. This acceptance constitutes formal authorization for Apex Consulting Group Ltda. to proceed with the recruitment, onboarding, and deployment of the designated Project Manager.</w:t>
      </w:r>
    </w:p>
    <w:p>
      <w:pPr>
        <w:pStyle w:val="BodyText"/>
      </w:pPr>
      <w:r>
        <w:rPr>
          <w:bCs/>
          <w:b/>
        </w:rPr>
        <w:t xml:space="preserve">For Apex Consulting Group Ltda.</w:t>
      </w:r>
      <w:r>
        <w:br/>
      </w:r>
      <w:r>
        <w:t xml:space="preserve">Authorized Representative</w:t>
      </w:r>
      <w:r>
        <w:br/>
      </w:r>
      <w:r>
        <w:t xml:space="preserve">Brazil Rio de Janeiro</w:t>
      </w:r>
    </w:p>
    <w:p>
      <w:pPr>
        <w:pStyle w:val="BodyText"/>
      </w:pPr>
      <w:r>
        <w:rPr>
          <w:bCs/>
          <w:b/>
        </w:rPr>
        <w:t xml:space="preserve">For the Client Organization</w:t>
      </w:r>
      <w:r>
        <w:br/>
      </w:r>
      <w:r>
        <w:t xml:space="preserve">Authorized Representative</w:t>
      </w:r>
      <w:r>
        <w:br/>
      </w:r>
      <w:r>
        <w:t xml:space="preserve">Date: _______________</w:t>
      </w:r>
    </w:p>
    <w:p>
      <w:pPr>
        <w:pStyle w:val="BodyText"/>
      </w:pPr>
      <w:r>
        <w:rPr>
          <w:bCs/>
          <w:b/>
        </w:rPr>
        <w:t xml:space="preserve">Important Notice:</w:t>
      </w:r>
      <w:r>
        <w:t xml:space="preserve"> </w:t>
      </w:r>
      <w:r>
        <w:t xml:space="preserve">This Quotation Estimate (Ref: QTE-2025-BRJ-0047) is a confidential commercial document prepared exclusively for the named client. It shall not be reproduced, distributed, or disclosed to third parties without the prior written consent of Apex Consulting Group Ltda. All pricing is subject to verification against current Brazil Rio de Janeiro municipal tax rates and federal labor cost indices at the time of contract execution.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Brazil Rio de Janeiro</dc:title>
  <dc:creator/>
  <dc:language>en</dc:language>
  <cp:keywords/>
  <dcterms:created xsi:type="dcterms:W3CDTF">2026-10-10T01:06:35Z</dcterms:created>
  <dcterms:modified xsi:type="dcterms:W3CDTF">2026-10-10T01:06:35Z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