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Project Manager Services — Canada Montreal Region</w:t>
      </w:r>
    </w:p>
    <w:bookmarkEnd w:id="20"/>
    <w:p>
      <w:pPr>
        <w:pStyle w:val="BodyText"/>
      </w:pPr>
      <w:r>
        <w:rPr>
          <w:bCs/>
          <w:b/>
        </w:rPr>
        <w:t xml:space="preserve">Quotation No.:</w:t>
      </w:r>
      <w:r>
        <w:t xml:space="preserve"> </w:t>
      </w:r>
      <w:r>
        <w:t xml:space="preserve">QTE-2025-MTL-0472</w:t>
      </w:r>
      <w:r>
        <w:t xml:space="preserve"> </w:t>
      </w:r>
      <w:r>
        <w:rPr>
          <w:bCs/>
          <w:b/>
        </w:rPr>
        <w:t xml:space="preserve">Date Issued:</w:t>
      </w:r>
      <w:r>
        <w:t xml:space="preserve"> </w:t>
      </w:r>
      <w:r>
        <w:t xml:space="preserve">June 12, 2025</w:t>
      </w:r>
      <w:r>
        <w:t xml:space="preserve"> </w:t>
      </w:r>
      <w:r>
        <w:rPr>
          <w:bCs/>
          <w:b/>
        </w:rPr>
        <w:t xml:space="preserve">Valid Until:</w:t>
      </w:r>
      <w:r>
        <w:t xml:space="preserve"> </w:t>
      </w:r>
      <w:r>
        <w:t xml:space="preserve">July 12, 2025</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prepared to outline the scope, deliverables, and associated costs for the engagement of a senior</w:t>
      </w:r>
      <w:r>
        <w:t xml:space="preserve"> </w:t>
      </w:r>
      <w:r>
        <w:t xml:space="preserve">Project Manager</w:t>
      </w:r>
      <w:r>
        <w:t xml:space="preserve"> </w:t>
      </w:r>
      <w:r>
        <w:t xml:space="preserve">to support organizational initiatives within the</w:t>
      </w:r>
      <w:r>
        <w:t xml:space="preserve"> </w:t>
      </w:r>
      <w:r>
        <w:t xml:space="preserve">Canada Montreal</w:t>
      </w:r>
      <w:r>
        <w:t xml:space="preserve"> </w:t>
      </w:r>
      <w:r>
        <w:t xml:space="preserve">metropolitan area. This document serves as a comprehensive financial and operational proposal, providing the client with full transparency regarding the professional services to be rendered, the timeline for delivery, and the total investment required to secure qualified project management expertise in the Montreal, Quebec market.</w:t>
      </w:r>
    </w:p>
    <w:p>
      <w:pPr>
        <w:pStyle w:val="BodyText"/>
      </w:pPr>
      <w:r>
        <w:t xml:space="preserve">The</w:t>
      </w:r>
      <w:r>
        <w:t xml:space="preserve"> </w:t>
      </w:r>
      <w:r>
        <w:t xml:space="preserve">Project Manager</w:t>
      </w:r>
      <w:r>
        <w:t xml:space="preserve"> </w:t>
      </w:r>
      <w:r>
        <w:t xml:space="preserve">engagement described herein is specifically tailored to the regulatory, linguistic, and operational environment of</w:t>
      </w:r>
      <w:r>
        <w:t xml:space="preserve"> </w:t>
      </w:r>
      <w:r>
        <w:t xml:space="preserve">Canada Montreal</w:t>
      </w:r>
      <w:r>
        <w:t xml:space="preserve">, ensuring full compliance with Quebec's labour standards, bilingual communication requirements, and local industry practices. This</w:t>
      </w:r>
      <w:r>
        <w:t xml:space="preserve"> </w:t>
      </w:r>
      <w:r>
        <w:t xml:space="preserve">Quotation Estimate</w:t>
      </w:r>
      <w:r>
        <w:t xml:space="preserve"> </w:t>
      </w:r>
      <w:r>
        <w:t xml:space="preserve">reflects current market rates for project management professionals operating in the Montreal region as of the second quarter of 2025.</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Organization</w:t>
            </w:r>
          </w:p>
        </w:tc>
        <w:tc>
          <w:tcPr/>
          <w:p>
            <w:pPr>
              <w:pStyle w:val="Compact"/>
              <w:jc w:val="left"/>
            </w:pPr>
            <w:r>
              <w:t xml:space="preserve">[Client Company Name], Inc.</w:t>
            </w:r>
          </w:p>
        </w:tc>
      </w:tr>
      <w:tr>
        <w:tc>
          <w:tcPr/>
          <w:p>
            <w:pPr>
              <w:pStyle w:val="Compact"/>
              <w:jc w:val="left"/>
            </w:pPr>
            <w:r>
              <w:t xml:space="preserve">Address</w:t>
            </w:r>
          </w:p>
        </w:tc>
        <w:tc>
          <w:tcPr/>
          <w:p>
            <w:pPr>
              <w:pStyle w:val="Compact"/>
              <w:jc w:val="left"/>
            </w:pPr>
            <w:r>
              <w:t xml:space="preserve">1200 Boulevard René-Lévesque, Suite 4500, Montreal, Quebec, Canada H3B 4W8</w:t>
            </w:r>
          </w:p>
        </w:tc>
      </w:tr>
      <w:tr>
        <w:tc>
          <w:tcPr/>
          <w:p>
            <w:pPr>
              <w:pStyle w:val="Compact"/>
              <w:jc w:val="left"/>
            </w:pPr>
            <w:r>
              <w:t xml:space="preserve">Contact Person</w:t>
            </w:r>
          </w:p>
        </w:tc>
        <w:tc>
          <w:tcPr/>
          <w:p>
            <w:pPr>
              <w:pStyle w:val="Compact"/>
              <w:jc w:val="left"/>
            </w:pPr>
            <w:r>
              <w:t xml:space="preserve">[Name], Director of Operations</w:t>
            </w:r>
          </w:p>
        </w:tc>
      </w:tr>
      <w:tr>
        <w:tc>
          <w:tcPr/>
          <w:p>
            <w:pPr>
              <w:pStyle w:val="Compact"/>
              <w:jc w:val="left"/>
            </w:pPr>
            <w:r>
              <w:t xml:space="preserve">Email</w:t>
            </w:r>
          </w:p>
        </w:tc>
        <w:tc>
          <w:tcPr/>
          <w:p>
            <w:pPr>
              <w:pStyle w:val="Compact"/>
              <w:jc w:val="left"/>
            </w:pPr>
            <w:r>
              <w:t xml:space="preserve">operations@[clientdomain].ca</w:t>
            </w:r>
          </w:p>
        </w:tc>
      </w:tr>
      <w:tr>
        <w:tc>
          <w:tcPr/>
          <w:p>
            <w:pPr>
              <w:pStyle w:val="Compact"/>
              <w:jc w:val="left"/>
            </w:pPr>
            <w:r>
              <w:t xml:space="preserve">Phone</w:t>
            </w:r>
          </w:p>
        </w:tc>
        <w:tc>
          <w:tcPr/>
          <w:p>
            <w:pPr>
              <w:pStyle w:val="Compact"/>
              <w:jc w:val="left"/>
            </w:pPr>
            <w:r>
              <w:t xml:space="preserve">+1 (514) 555-0192</w:t>
            </w:r>
          </w:p>
        </w:tc>
      </w:tr>
    </w:tbl>
    <w:bookmarkEnd w:id="22"/>
    <w:bookmarkStart w:id="23" w:name="X98d2de802d335042e5d503f69772bbc81a70d17"/>
    <w:p>
      <w:pPr>
        <w:pStyle w:val="Heading2"/>
      </w:pPr>
      <w:r>
        <w:t xml:space="preserve">3.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will be responsible for the following core duties within the</w:t>
      </w:r>
      <w:r>
        <w:t xml:space="preserve"> </w:t>
      </w:r>
      <w:r>
        <w:t xml:space="preserve">Canada Montreal</w:t>
      </w:r>
      <w:r>
        <w:t xml:space="preserve"> </w:t>
      </w:r>
      <w:r>
        <w:t xml:space="preserve">operational context:</w:t>
      </w:r>
    </w:p>
    <w:p>
      <w:pPr>
        <w:numPr>
          <w:ilvl w:val="0"/>
          <w:numId w:val="1001"/>
        </w:numPr>
        <w:pStyle w:val="Compact"/>
      </w:pPr>
      <w:r>
        <w:t xml:space="preserve">End-to-end project planning, scheduling, and execution oversight for up to three concurrent initiatives per quarter.</w:t>
      </w:r>
    </w:p>
    <w:p>
      <w:pPr>
        <w:numPr>
          <w:ilvl w:val="0"/>
          <w:numId w:val="1001"/>
        </w:numPr>
        <w:pStyle w:val="Compact"/>
      </w:pPr>
      <w:r>
        <w:t xml:space="preserve">Stakeholder management and communication in both English and French, in accordance with Quebec's language legislation (Bill 96 / Law 25).</w:t>
      </w:r>
    </w:p>
    <w:p>
      <w:pPr>
        <w:numPr>
          <w:ilvl w:val="0"/>
          <w:numId w:val="1001"/>
        </w:numPr>
        <w:pStyle w:val="Compact"/>
      </w:pPr>
      <w:r>
        <w:t xml:space="preserve">Resource allocation, budget monitoring, and cost-control reporting aligned with the client's financial governance framework.</w:t>
      </w:r>
    </w:p>
    <w:p>
      <w:pPr>
        <w:numPr>
          <w:ilvl w:val="0"/>
          <w:numId w:val="1001"/>
        </w:numPr>
        <w:pStyle w:val="Compact"/>
      </w:pPr>
      <w:r>
        <w:t xml:space="preserve">Risk identification, mitigation strategy development, and escalation protocols specific to the</w:t>
      </w:r>
      <w:r>
        <w:t xml:space="preserve"> </w:t>
      </w:r>
      <w:r>
        <w:t xml:space="preserve">Canada Montreal</w:t>
      </w:r>
      <w:r>
        <w:t xml:space="preserve"> </w:t>
      </w:r>
      <w:r>
        <w:t xml:space="preserve">business environment.</w:t>
      </w:r>
    </w:p>
    <w:p>
      <w:pPr>
        <w:numPr>
          <w:ilvl w:val="0"/>
          <w:numId w:val="1001"/>
        </w:numPr>
        <w:pStyle w:val="Compact"/>
      </w:pPr>
      <w:r>
        <w:t xml:space="preserve">Coordination with local regulatory bodies, municipal authorities, and industry partners operating in the Montreal metropolitan area.</w:t>
      </w:r>
    </w:p>
    <w:p>
      <w:pPr>
        <w:numPr>
          <w:ilvl w:val="0"/>
          <w:numId w:val="1001"/>
        </w:numPr>
        <w:pStyle w:val="Compact"/>
      </w:pPr>
      <w:r>
        <w:t xml:space="preserve">Agile and hybrid methodology implementation, including sprint planning, retrospectives, and continuous improvement cycles.</w:t>
      </w:r>
    </w:p>
    <w:p>
      <w:pPr>
        <w:numPr>
          <w:ilvl w:val="0"/>
          <w:numId w:val="1001"/>
        </w:numPr>
        <w:pStyle w:val="Compact"/>
      </w:pPr>
      <w:r>
        <w:t xml:space="preserve">Preparation of weekly status reports, monthly executive summaries, and final project closure documentation.</w:t>
      </w:r>
    </w:p>
    <w:p>
      <w:pPr>
        <w:numPr>
          <w:ilvl w:val="0"/>
          <w:numId w:val="1001"/>
        </w:numPr>
        <w:pStyle w:val="Compact"/>
      </w:pPr>
      <w:r>
        <w:t xml:space="preserve">Mentoring and oversight of junior project coordinators and team leads assigned to the project portfolio.</w:t>
      </w:r>
    </w:p>
    <w:bookmarkEnd w:id="23"/>
    <w:bookmarkStart w:id="24" w:name="Xe0d855c7c597480bbf70fab7c81f89c20a8fc33"/>
    <w:p>
      <w:pPr>
        <w:pStyle w:val="Heading2"/>
      </w:pPr>
      <w:r>
        <w:t xml:space="preserve">4. Quotation Estimate — Itemized Cost Breakdown</w:t>
      </w:r>
    </w:p>
    <w:p>
      <w:pPr>
        <w:pStyle w:val="FirstParagraph"/>
      </w:pPr>
      <w:r>
        <w:t xml:space="preserve">The following table presents the detailed</w:t>
      </w:r>
      <w:r>
        <w:t xml:space="preserve"> </w:t>
      </w:r>
      <w:r>
        <w:t xml:space="preserve">Quotation Estimate</w:t>
      </w:r>
      <w:r>
        <w:t xml:space="preserve"> </w:t>
      </w:r>
      <w:r>
        <w:t xml:space="preserve">for the</w:t>
      </w:r>
      <w:r>
        <w:t xml:space="preserve"> </w:t>
      </w:r>
      <w:r>
        <w:t xml:space="preserve">Project Manager</w:t>
      </w:r>
      <w:r>
        <w:t xml:space="preserve"> </w:t>
      </w:r>
      <w:r>
        <w:t xml:space="preserve">services to be delivered in</w:t>
      </w:r>
      <w:r>
        <w:t xml:space="preserve"> </w:t>
      </w:r>
      <w:r>
        <w:t xml:space="preserve">Canada Montreal</w:t>
      </w:r>
      <w:r>
        <w:t xml:space="preserve">. All amounts are expressed in Canadian Dollars (CAD) and are inclusive of applicable Goods and Services Tax (GST) at the federal rate of 5% and Quebec Sales Tax (QST) at 9.975%, unless otherwise noted.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Senior Project Manager — Full-time engagement (40 hrs/week), on-site in Montreal, QC</w:t>
            </w:r>
          </w:p>
        </w:tc>
        <w:tc>
          <w:tcPr/>
          <w:p>
            <w:pPr>
              <w:pStyle w:val="Compact"/>
              <w:jc w:val="left"/>
            </w:pPr>
            <w:r>
              <w:t xml:space="preserve">6 months</w:t>
            </w:r>
          </w:p>
        </w:tc>
        <w:tc>
          <w:tcPr/>
          <w:p>
            <w:pPr>
              <w:pStyle w:val="Compact"/>
              <w:jc w:val="left"/>
            </w:pPr>
            <w:r>
              <w:t xml:space="preserve">$115,000 / month</w:t>
            </w:r>
          </w:p>
        </w:tc>
        <w:tc>
          <w:tcPr/>
          <w:p>
            <w:pPr>
              <w:pStyle w:val="Compact"/>
              <w:jc w:val="left"/>
            </w:pPr>
            <w:r>
              <w:t xml:space="preserve">$690,000.00</w:t>
            </w:r>
          </w:p>
        </w:tc>
      </w:tr>
      <w:tr>
        <w:tc>
          <w:tcPr/>
          <w:p>
            <w:pPr>
              <w:pStyle w:val="Compact"/>
              <w:jc w:val="left"/>
            </w:pPr>
            <w:r>
              <w:t xml:space="preserve">2</w:t>
            </w:r>
          </w:p>
        </w:tc>
        <w:tc>
          <w:tcPr/>
          <w:p>
            <w:pPr>
              <w:pStyle w:val="Compact"/>
              <w:jc w:val="left"/>
            </w:pPr>
            <w:r>
              <w:t xml:space="preserve">Project initiation and discovery workshop (bilingual, English/French)</w:t>
            </w:r>
          </w:p>
        </w:tc>
        <w:tc>
          <w:tcPr/>
          <w:p>
            <w:pPr>
              <w:pStyle w:val="Compact"/>
              <w:jc w:val="left"/>
            </w:pPr>
            <w:r>
              <w:t xml:space="preserve">1 week</w:t>
            </w:r>
          </w:p>
        </w:tc>
        <w:tc>
          <w:tcPr/>
          <w:p>
            <w:pPr>
              <w:pStyle w:val="Compact"/>
              <w:jc w:val="left"/>
            </w:pPr>
            <w:r>
              <w:t xml:space="preserve">Flat fee</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Project management software licensing (Jira, Confluence, MS Project) — 12 seats</w:t>
            </w:r>
          </w:p>
        </w:tc>
        <w:tc>
          <w:tcPr/>
          <w:p>
            <w:pPr>
              <w:pStyle w:val="Compact"/>
              <w:jc w:val="left"/>
            </w:pPr>
            <w:r>
              <w:t xml:space="preserve">6 months</w:t>
            </w:r>
          </w:p>
        </w:tc>
        <w:tc>
          <w:tcPr/>
          <w:p>
            <w:pPr>
              <w:pStyle w:val="Compact"/>
              <w:jc w:val="left"/>
            </w:pPr>
            <w:r>
              <w:t xml:space="preserve">$1,200 / month</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Travel and local transportation within the Canada Montreal metro area</w:t>
            </w:r>
          </w:p>
        </w:tc>
        <w:tc>
          <w:tcPr/>
          <w:p>
            <w:pPr>
              <w:pStyle w:val="Compact"/>
              <w:jc w:val="left"/>
            </w:pPr>
            <w:r>
              <w:t xml:space="preserve">6 months</w:t>
            </w:r>
          </w:p>
        </w:tc>
        <w:tc>
          <w:tcPr/>
          <w:p>
            <w:pPr>
              <w:pStyle w:val="Compact"/>
              <w:jc w:val="left"/>
            </w:pPr>
            <w:r>
              <w:t xml:space="preserve">$650 / month</w:t>
            </w:r>
          </w:p>
        </w:tc>
        <w:tc>
          <w:tcPr/>
          <w:p>
            <w:pPr>
              <w:pStyle w:val="Compact"/>
              <w:jc w:val="left"/>
            </w:pPr>
            <w:r>
              <w:t xml:space="preserve">$3,900.00</w:t>
            </w:r>
          </w:p>
        </w:tc>
      </w:tr>
      <w:tr>
        <w:tc>
          <w:tcPr/>
          <w:p>
            <w:pPr>
              <w:pStyle w:val="Compact"/>
              <w:jc w:val="left"/>
            </w:pPr>
            <w:r>
              <w:t xml:space="preserve">5</w:t>
            </w:r>
          </w:p>
        </w:tc>
        <w:tc>
          <w:tcPr/>
          <w:p>
            <w:pPr>
              <w:pStyle w:val="Compact"/>
              <w:jc w:val="left"/>
            </w:pPr>
            <w:r>
              <w:t xml:space="preserve">Contingency and change-order buffer (10% of base services)</w:t>
            </w:r>
          </w:p>
        </w:tc>
        <w:tc>
          <w:tcPr/>
          <w:p>
            <w:pPr>
              <w:pStyle w:val="Compact"/>
              <w:jc w:val="left"/>
            </w:pPr>
            <w:r>
              <w:t xml:space="preserve">6 months</w:t>
            </w:r>
          </w:p>
        </w:tc>
        <w:tc>
          <w:tcPr/>
          <w:p>
            <w:pPr>
              <w:pStyle w:val="Compact"/>
              <w:jc w:val="left"/>
            </w:pPr>
            <w:r>
              <w:t xml:space="preserve">Calculated</w:t>
            </w:r>
          </w:p>
        </w:tc>
        <w:tc>
          <w:tcPr/>
          <w:p>
            <w:pPr>
              <w:pStyle w:val="Compact"/>
              <w:jc w:val="left"/>
            </w:pPr>
            <w:r>
              <w:t xml:space="preserve">$69,000.00</w:t>
            </w:r>
          </w:p>
        </w:tc>
      </w:tr>
      <w:tr>
        <w:tc>
          <w:tcPr/>
          <w:p>
            <w:pPr>
              <w:pStyle w:val="Compact"/>
              <w:jc w:val="left"/>
            </w:pPr>
            <w:r>
              <w:t xml:space="preserve">6</w:t>
            </w:r>
          </w:p>
        </w:tc>
        <w:tc>
          <w:tcPr/>
          <w:p>
            <w:pPr>
              <w:pStyle w:val="Compact"/>
              <w:jc w:val="left"/>
            </w:pPr>
            <w:r>
              <w:t xml:space="preserve">Knowledge transfer and documentation handover session</w:t>
            </w:r>
          </w:p>
        </w:tc>
        <w:tc>
          <w:tcPr/>
          <w:p>
            <w:pPr>
              <w:pStyle w:val="Compact"/>
              <w:jc w:val="left"/>
            </w:pPr>
            <w:r>
              <w:t xml:space="preserve">1 week</w:t>
            </w:r>
          </w:p>
        </w:tc>
        <w:tc>
          <w:tcPr/>
          <w:p>
            <w:pPr>
              <w:pStyle w:val="Compact"/>
              <w:jc w:val="left"/>
            </w:pPr>
            <w:r>
              <w:t xml:space="preserve">Flat fee</w:t>
            </w:r>
          </w:p>
        </w:tc>
        <w:tc>
          <w:tcPr/>
          <w:p>
            <w:pPr>
              <w:pStyle w:val="Compact"/>
              <w:jc w:val="left"/>
            </w:pPr>
            <w:r>
              <w:t xml:space="preserve">$4,800.00</w:t>
            </w:r>
          </w:p>
        </w:tc>
      </w:tr>
      <w:tr>
        <w:tc>
          <w:tcPr>
            <w:gridSpan w:val="4"/>
          </w:tcPr>
          <w:p>
            <w:pPr>
              <w:pStyle w:val="Compact"/>
              <w:jc w:val="left"/>
            </w:pPr>
            <w:r>
              <w:t xml:space="preserve">Subtotal (before taxes)</w:t>
            </w:r>
          </w:p>
        </w:tc>
        <w:tc>
          <w:tcPr/>
          <w:p>
            <w:pPr>
              <w:pStyle w:val="Compact"/>
              <w:jc w:val="left"/>
            </w:pPr>
            <w:r>
              <w:t xml:space="preserve">$783,400.00</w:t>
            </w:r>
          </w:p>
        </w:tc>
      </w:tr>
      <w:tr>
        <w:tc>
          <w:tcPr>
            <w:gridSpan w:val="4"/>
          </w:tcPr>
          <w:p>
            <w:pPr>
              <w:pStyle w:val="Compact"/>
              <w:jc w:val="left"/>
            </w:pPr>
            <w:r>
              <w:t xml:space="preserve">GST (5%) + QST (9.975%) = 14.975%</w:t>
            </w:r>
          </w:p>
        </w:tc>
        <w:tc>
          <w:tcPr/>
          <w:p>
            <w:pPr>
              <w:pStyle w:val="Compact"/>
              <w:jc w:val="left"/>
            </w:pPr>
            <w:r>
              <w:t xml:space="preserve">$117,313.85</w:t>
            </w:r>
          </w:p>
        </w:tc>
      </w:tr>
      <w:tr>
        <w:tc>
          <w:tcPr>
            <w:gridSpan w:val="4"/>
          </w:tcPr>
          <w:p>
            <w:pPr>
              <w:pStyle w:val="Compact"/>
              <w:jc w:val="left"/>
            </w:pPr>
            <w:r>
              <w:rPr>
                <w:bCs/>
                <w:b/>
              </w:rPr>
              <w:t xml:space="preserve">TOTAL QUOTATION ESTIMATE (CAD)</w:t>
            </w:r>
          </w:p>
        </w:tc>
        <w:tc>
          <w:tcPr/>
          <w:p>
            <w:pPr>
              <w:pStyle w:val="Compact"/>
              <w:jc w:val="left"/>
            </w:pPr>
            <w:r>
              <w:rPr>
                <w:bCs/>
                <w:b/>
              </w:rPr>
              <w:t xml:space="preserve">$900,713.85</w:t>
            </w:r>
          </w:p>
        </w:tc>
      </w:tr>
    </w:tbl>
    <w:bookmarkEnd w:id="24"/>
    <w:bookmarkStart w:id="25" w:name="payment-terms-and-schedule"/>
    <w:p>
      <w:pPr>
        <w:pStyle w:val="Heading2"/>
      </w:pPr>
      <w:r>
        <w:t xml:space="preserve">5.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on a monthly basis, invoiced on the first business day of each month for services rendered in the preceding month. A 20% mobilization fee is due upon contract execution. The remaining balance is payable in five equal monthly installments. Late payments shall accrue interest at 1.5% per month, in accordance with the</w:t>
      </w:r>
      <w:r>
        <w:t xml:space="preserve"> </w:t>
      </w:r>
      <w:r>
        <w:rPr>
          <w:iCs/>
          <w:i/>
        </w:rPr>
        <w:t xml:space="preserve">Interest Act</w:t>
      </w:r>
      <w:r>
        <w:t xml:space="preserve"> </w:t>
      </w:r>
      <w:r>
        <w:t xml:space="preserve">applicable in</w:t>
      </w:r>
      <w:r>
        <w:t xml:space="preserve"> </w:t>
      </w:r>
      <w:r>
        <w:t xml:space="preserve">Canada Montreal</w:t>
      </w:r>
      <w:r>
        <w:t xml:space="preserve"> </w:t>
      </w:r>
      <w:r>
        <w:t xml:space="preserve">and the Province of Quebec.</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w:t>
      </w:r>
      <w:r>
        <w:t xml:space="preserve"> </w:t>
      </w:r>
      <w:r>
        <w:t xml:space="preserve">Quotation Estimate</w:t>
      </w:r>
      <w:r>
        <w:t xml:space="preserve"> </w:t>
      </w:r>
      <w:r>
        <w:t xml:space="preserve">is valid for thirty (30) calendar days from the date of issue. After the expiry date, pricing for the</w:t>
      </w:r>
      <w:r>
        <w:t xml:space="preserve"> </w:t>
      </w:r>
      <w:r>
        <w:t xml:space="preserve">Project Manager</w:t>
      </w:r>
      <w:r>
        <w:t xml:space="preserve"> </w:t>
      </w:r>
      <w:r>
        <w:t xml:space="preserve">engagement may be subject to revision based on market conditions in</w:t>
      </w:r>
      <w:r>
        <w:t xml:space="preserve"> </w:t>
      </w:r>
      <w:r>
        <w:t xml:space="preserve">Canada Montreal</w:t>
      </w:r>
      <w:r>
        <w:t xml:space="preserve">.</w:t>
      </w:r>
    </w:p>
    <w:p>
      <w:pPr>
        <w:pStyle w:val="BodyText"/>
      </w:pPr>
      <w:r>
        <w:rPr>
          <w:bCs/>
          <w:b/>
        </w:rPr>
        <w:t xml:space="preserve">6.2</w:t>
      </w:r>
      <w:r>
        <w:t xml:space="preserve"> </w:t>
      </w:r>
      <w:r>
        <w:t xml:space="preserve">The</w:t>
      </w:r>
      <w:r>
        <w:t xml:space="preserve"> </w:t>
      </w:r>
      <w:r>
        <w:t xml:space="preserve">Project Manager</w:t>
      </w:r>
      <w:r>
        <w:t xml:space="preserve"> </w:t>
      </w:r>
      <w:r>
        <w:t xml:space="preserve">shall operate under a non-disclosure agreement (NDA) and a confidentiality clause specific to the client's proprietary information, in compliance with Quebec's</w:t>
      </w:r>
      <w:r>
        <w:t xml:space="preserve"> </w:t>
      </w:r>
      <w:r>
        <w:rPr>
          <w:iCs/>
          <w:i/>
        </w:rPr>
        <w:t xml:space="preserve">Act respecting the protection of personal information in the private sector</w:t>
      </w:r>
      <w:r>
        <w:t xml:space="preserve"> </w:t>
      </w:r>
      <w:r>
        <w:t xml:space="preserve">(Law 25).</w:t>
      </w:r>
    </w:p>
    <w:p>
      <w:pPr>
        <w:pStyle w:val="BodyText"/>
      </w:pPr>
      <w:r>
        <w:rPr>
          <w:bCs/>
          <w:b/>
        </w:rPr>
        <w:t xml:space="preserve">6.3</w:t>
      </w:r>
      <w:r>
        <w:t xml:space="preserve"> </w:t>
      </w:r>
      <w:r>
        <w:t xml:space="preserve">Any scope changes exceeding 15% of the original deliverables will require a formal change order and a revised</w:t>
      </w:r>
      <w:r>
        <w:t xml:space="preserve"> </w:t>
      </w:r>
      <w:r>
        <w:t xml:space="preserve">Quotation Estimate</w:t>
      </w:r>
      <w:r>
        <w:t xml:space="preserve"> </w:t>
      </w:r>
      <w:r>
        <w:t xml:space="preserve">prior to implementation.</w:t>
      </w:r>
    </w:p>
    <w:p>
      <w:pPr>
        <w:pStyle w:val="BodyText"/>
      </w:pPr>
      <w:r>
        <w:rPr>
          <w:bCs/>
          <w:b/>
        </w:rPr>
        <w:t xml:space="preserve">6.4</w:t>
      </w:r>
      <w:r>
        <w:t xml:space="preserve"> </w:t>
      </w:r>
      <w:r>
        <w:t xml:space="preserve">The</w:t>
      </w:r>
      <w:r>
        <w:t xml:space="preserve"> </w:t>
      </w:r>
      <w:r>
        <w:t xml:space="preserve">Project Manager</w:t>
      </w:r>
      <w:r>
        <w:t xml:space="preserve"> </w:t>
      </w:r>
      <w:r>
        <w:t xml:space="preserve">is engaged as an independent contractor and is not an employee of the client. All applicable Canada Revenue Agency (CRA) reporting obligations shall be met.</w:t>
      </w:r>
    </w:p>
    <w:p>
      <w:pPr>
        <w:pStyle w:val="BodyText"/>
      </w:pPr>
      <w:r>
        <w:rPr>
          <w:bCs/>
          <w:b/>
        </w:rPr>
        <w:t xml:space="preserve">6.5</w:t>
      </w:r>
      <w:r>
        <w:t xml:space="preserve"> </w:t>
      </w:r>
      <w:r>
        <w:t xml:space="preserve">Disputes arising from this engagement shall be resolved through mediation in the city of Montreal, Quebec, and, if unresolved, through arbitration under the rules of the Quebec Association of Arbitrators.</w:t>
      </w:r>
    </w:p>
    <w:bookmarkEnd w:id="26"/>
    <w:bookmarkStart w:id="27" w:name="assumptions-and-exclusions"/>
    <w:p>
      <w:pPr>
        <w:pStyle w:val="Heading2"/>
      </w:pPr>
      <w:r>
        <w:t xml:space="preserve">7. Assumptions and Exclusions</w:t>
      </w:r>
    </w:p>
    <w:p>
      <w:pPr>
        <w:pStyle w:val="FirstParagraph"/>
      </w:pPr>
      <w:r>
        <w:t xml:space="preserve">This</w:t>
      </w:r>
      <w:r>
        <w:t xml:space="preserve"> </w:t>
      </w:r>
      <w:r>
        <w:t xml:space="preserve">Quotation Estimate</w:t>
      </w:r>
      <w:r>
        <w:t xml:space="preserve"> </w:t>
      </w:r>
      <w:r>
        <w:t xml:space="preserve">assumes that the client will provide timely access to all necessary systems, documentation, and personnel. The</w:t>
      </w:r>
      <w:r>
        <w:t xml:space="preserve"> </w:t>
      </w:r>
      <w:r>
        <w:t xml:space="preserve">Project Manager</w:t>
      </w:r>
      <w:r>
        <w:t xml:space="preserve"> </w:t>
      </w:r>
      <w:r>
        <w:t xml:space="preserve">engagement does not include the cost of hiring additional team members, procurement of hardware, or any capital expenditure. All work will be performed within the</w:t>
      </w:r>
      <w:r>
        <w:t xml:space="preserve"> </w:t>
      </w:r>
      <w:r>
        <w:t xml:space="preserve">Canada Montreal</w:t>
      </w:r>
      <w:r>
        <w:t xml:space="preserve"> </w:t>
      </w:r>
      <w:r>
        <w:t xml:space="preserve">metropolitan area unless otherwise agreed in writing. Overtime beyond 45 hours per week, as governed by the Quebec</w:t>
      </w:r>
      <w:r>
        <w:t xml:space="preserve"> </w:t>
      </w:r>
      <w:r>
        <w:rPr>
          <w:iCs/>
          <w:i/>
        </w:rPr>
        <w:t xml:space="preserve">Act respecting labour standards</w:t>
      </w:r>
      <w:r>
        <w:t xml:space="preserve">, will be billed at 1.5 times the standard hourly rate.</w:t>
      </w:r>
    </w:p>
    <w:bookmarkEnd w:id="27"/>
    <w:bookmarkStart w:id="28" w:name="acceptance-and-authorization"/>
    <w:p>
      <w:pPr>
        <w:pStyle w:val="Heading2"/>
      </w:pPr>
      <w:r>
        <w:t xml:space="preserve">8.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engagement of the</w:t>
      </w:r>
      <w:r>
        <w:t xml:space="preserve"> </w:t>
      </w:r>
      <w:r>
        <w:t xml:space="preserve">Project Manager</w:t>
      </w:r>
      <w:r>
        <w:t xml:space="preserve"> </w:t>
      </w:r>
      <w:r>
        <w:t xml:space="preserve">as described herein for operations within</w:t>
      </w:r>
      <w:r>
        <w:t xml:space="preserve"> </w:t>
      </w:r>
      <w:r>
        <w:t xml:space="preserve">Canada Montreal</w:t>
      </w:r>
      <w:r>
        <w:t xml:space="preserve">. This signature constitutes a binding agreement subject to the terms and conditions outlined in Section 6.</w:t>
      </w:r>
    </w:p>
    <w:bookmarkEnd w:id="28"/>
    <w:p>
      <w:pPr>
        <w:pStyle w:val="BodyText"/>
      </w:pPr>
      <w:r>
        <w:t xml:space="preserve">Client Authorized Signatory</w:t>
      </w:r>
    </w:p>
    <w:p>
      <w:pPr>
        <w:pStyle w:val="BodyText"/>
      </w:pPr>
      <w:r>
        <w:t xml:space="preserve">Name: _________________________</w:t>
      </w:r>
      <w:r>
        <w:br/>
      </w:r>
      <w:r>
        <w:t xml:space="preserve">Date: _________________________</w:t>
      </w:r>
    </w:p>
    <w:p>
      <w:pPr>
        <w:pStyle w:val="BodyText"/>
      </w:pPr>
      <w:r>
        <w:t xml:space="preserve">Service Provider Representative</w:t>
      </w:r>
    </w:p>
    <w:p>
      <w:pPr>
        <w:pStyle w:val="BodyText"/>
      </w:pPr>
      <w:r>
        <w:t xml:space="preserve">Name: _________________________</w:t>
      </w:r>
      <w:r>
        <w:br/>
      </w:r>
      <w:r>
        <w:t xml:space="preserve">Date: _________________________</w:t>
      </w:r>
    </w:p>
    <w:p>
      <w:pPr>
        <w:pStyle w:val="BodyText"/>
      </w:pPr>
      <w:r>
        <w:t xml:space="preserve">This Quotation Estimate was prepared for the Canada Montreal market and is governed by the laws of the Province of Quebec and the federal laws of Canada applicable therein. © 2025. All rights reserved. Document Reference: QTE-2025-MTL-0472.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Canada Montreal</dc:title>
  <dc:creator/>
  <dc:language>en</dc:language>
  <cp:keywords/>
  <dcterms:created xsi:type="dcterms:W3CDTF">2026-10-10T03:35:35Z</dcterms:created>
  <dcterms:modified xsi:type="dcterms:W3CDTF">2026-10-10T03:35:35Z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