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quotation-estimate"/>
    <w:p>
      <w:pPr>
        <w:pStyle w:val="Heading1"/>
      </w:pPr>
      <w:r>
        <w:t xml:space="preserve">Quotation Estimate</w:t>
      </w:r>
    </w:p>
    <w:p>
      <w:pPr>
        <w:pStyle w:val="FirstParagraph"/>
      </w:pPr>
      <w:r>
        <w:rPr>
          <w:bCs/>
          <w:b/>
        </w:rPr>
        <w:t xml:space="preserve">Nile Apex Consulting &amp; Project Management Services</w:t>
      </w:r>
    </w:p>
    <w:p>
      <w:pPr>
        <w:pStyle w:val="BodyText"/>
      </w:pPr>
      <w:r>
        <w:t xml:space="preserve">12th Floor, Zamalek Business Tower, 45 El-Gouna Street, Zamalek, Egypt Cairo</w:t>
      </w:r>
    </w:p>
    <w:p>
      <w:pPr>
        <w:pStyle w:val="BodyText"/>
      </w:pPr>
      <w:r>
        <w:t xml:space="preserve">Tel: +20 2 2735 8890 | Email: quotations@nileapex-eg.com | CR: 184729</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QTE-2025-CAI-0472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Egyptian Pound (EGP) / US Dollar (USD)</w:t>
            </w:r>
          </w:p>
        </w:tc>
      </w:tr>
      <w:tr>
        <w:tc>
          <w:tcPr/>
          <w:p>
            <w:pPr>
              <w:pStyle w:val="Compact"/>
              <w:jc w:val="left"/>
            </w:pPr>
            <w:r>
              <w:t xml:space="preserve">Prepared For</w:t>
            </w:r>
          </w:p>
        </w:tc>
        <w:tc>
          <w:tcPr/>
          <w:p>
            <w:pPr>
              <w:pStyle w:val="Compact"/>
              <w:jc w:val="left"/>
            </w:pPr>
            <w:r>
              <w:t xml:space="preserve">Horizon Infrastructure Development Co., Ltd. – Cairo Office</w:t>
            </w:r>
          </w:p>
        </w:tc>
        <w:tc>
          <w:tcPr/>
          <w:p>
            <w:pPr>
              <w:pStyle w:val="Compact"/>
              <w:jc w:val="left"/>
            </w:pPr>
            <w:r>
              <w:t xml:space="preserve">Project Reference</w:t>
            </w:r>
          </w:p>
        </w:tc>
        <w:tc>
          <w:tcPr/>
          <w:p>
            <w:pPr>
              <w:pStyle w:val="Compact"/>
              <w:jc w:val="left"/>
            </w:pPr>
            <w:r>
              <w:t xml:space="preserve">PRJ-CAI-2025-118</w:t>
            </w:r>
          </w:p>
        </w:tc>
      </w:tr>
      <w:tr>
        <w:tc>
          <w:tcPr/>
          <w:p>
            <w:pPr>
              <w:pStyle w:val="Compact"/>
              <w:jc w:val="left"/>
            </w:pPr>
            <w:r>
              <w:t xml:space="preserve">Service Location</w:t>
            </w:r>
          </w:p>
        </w:tc>
        <w:tc>
          <w:tcPr>
            <w:gridSpan w:val="3"/>
          </w:tcPr>
          <w:p>
            <w:pPr>
              <w:pStyle w:val="Compact"/>
              <w:jc w:val="left"/>
            </w:pPr>
            <w:r>
              <w:t xml:space="preserve">Egypt Cairo – New Administrative Capital (NAC) District, Giza Governorate</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Nile Apex Consulting &amp; Project Management Services to provide a comprehensive, itemized cost breakdown for the engagement of a senior</w:t>
      </w:r>
      <w:r>
        <w:t xml:space="preserve"> </w:t>
      </w:r>
      <w:r>
        <w:t xml:space="preserve">Project Manager</w:t>
      </w:r>
      <w:r>
        <w:t xml:space="preserve"> </w:t>
      </w:r>
      <w:r>
        <w:t xml:space="preserve">to oversee and deliver the Horizon Infrastructure Development project located in</w:t>
      </w:r>
      <w:r>
        <w:t xml:space="preserve"> </w:t>
      </w:r>
      <w:r>
        <w:t xml:space="preserve">Egypt Cairo</w:t>
      </w:r>
      <w:r>
        <w:t xml:space="preserve">. This document serves as a binding financial proposal and outlines all professional fees, deliverables, timelines, and terms governing the</w:t>
      </w:r>
      <w:r>
        <w:t xml:space="preserve"> </w:t>
      </w:r>
      <w:r>
        <w:t xml:space="preserve">Project Manager</w:t>
      </w:r>
      <w:r>
        <w:t xml:space="preserve"> </w:t>
      </w:r>
      <w:r>
        <w:t xml:space="preserve">engagement within the</w:t>
      </w:r>
      <w:r>
        <w:t xml:space="preserve"> </w:t>
      </w:r>
      <w:r>
        <w:t xml:space="preserve">Egypt Cairo</w:t>
      </w:r>
      <w:r>
        <w:t xml:space="preserve"> </w:t>
      </w:r>
      <w:r>
        <w:t xml:space="preserve">metropolitan area. All pricing reflects current market rates applicable to the</w:t>
      </w:r>
      <w:r>
        <w:t xml:space="preserve"> </w:t>
      </w:r>
      <w:r>
        <w:t xml:space="preserve">Egypt Cairo</w:t>
      </w:r>
      <w:r>
        <w:t xml:space="preserve"> </w:t>
      </w:r>
      <w:r>
        <w:t xml:space="preserve">business environment as of the date of issue.</w:t>
      </w:r>
    </w:p>
    <w:bookmarkEnd w:id="21"/>
    <w:bookmarkStart w:id="22" w:name="X00d69e6c18e14bb4f011205153c08d7e92ecb95"/>
    <w:p>
      <w:pPr>
        <w:pStyle w:val="Heading2"/>
      </w:pPr>
      <w:r>
        <w:t xml:space="preserve">2. Scope of Work – Project Manager Services in Egypt Cairo</w:t>
      </w:r>
    </w:p>
    <w:p>
      <w:pPr>
        <w:pStyle w:val="FirstParagraph"/>
      </w:pPr>
      <w:r>
        <w:t xml:space="preserve">The appointed</w:t>
      </w:r>
      <w:r>
        <w:t xml:space="preserve"> </w:t>
      </w:r>
      <w:r>
        <w:t xml:space="preserve">Project Manager</w:t>
      </w:r>
      <w:r>
        <w:t xml:space="preserve"> </w:t>
      </w:r>
      <w:r>
        <w:t xml:space="preserve">shall be responsible for the end-to-end delivery of the project in</w:t>
      </w:r>
      <w:r>
        <w:t xml:space="preserve"> </w:t>
      </w:r>
      <w:r>
        <w:t xml:space="preserve">Egypt Cairo</w:t>
      </w:r>
      <w:r>
        <w:t xml:space="preserve">, encompassing the following core responsibilities:</w:t>
      </w:r>
    </w:p>
    <w:p>
      <w:pPr>
        <w:numPr>
          <w:ilvl w:val="0"/>
          <w:numId w:val="1001"/>
        </w:numPr>
        <w:pStyle w:val="Compact"/>
      </w:pPr>
      <w:r>
        <w:rPr>
          <w:bCs/>
          <w:b/>
        </w:rPr>
        <w:t xml:space="preserve">Project Planning &amp; Scheduling:</w:t>
      </w:r>
      <w:r>
        <w:t xml:space="preserve"> </w:t>
      </w:r>
      <w:r>
        <w:t xml:space="preserve">Development of a detailed master project plan, critical path analysis, and milestone schedule tailored to the regulatory and logistical conditions specific to</w:t>
      </w:r>
      <w:r>
        <w:t xml:space="preserve"> </w:t>
      </w:r>
      <w:r>
        <w:t xml:space="preserve">Egypt Cairo</w:t>
      </w:r>
      <w:r>
        <w:t xml:space="preserve"> </w:t>
      </w:r>
      <w:r>
        <w:t xml:space="preserve">construction and infrastructure zones.</w:t>
      </w:r>
    </w:p>
    <w:p>
      <w:pPr>
        <w:numPr>
          <w:ilvl w:val="0"/>
          <w:numId w:val="1001"/>
        </w:numPr>
        <w:pStyle w:val="Compact"/>
      </w:pPr>
      <w:r>
        <w:rPr>
          <w:bCs/>
          <w:b/>
        </w:rPr>
        <w:t xml:space="preserve">Stakeholder Coordination:</w:t>
      </w:r>
      <w:r>
        <w:t xml:space="preserve"> </w:t>
      </w:r>
      <w:r>
        <w:t xml:space="preserve">Liaison with Egyptian governmental authorities, including the New Administrative Capital Authority, local municipal offices in</w:t>
      </w:r>
      <w:r>
        <w:t xml:space="preserve"> </w:t>
      </w:r>
      <w:r>
        <w:t xml:space="preserve">Egypt Cairo</w:t>
      </w:r>
      <w:r>
        <w:t xml:space="preserve">, and all subcontractors operating within the project site.</w:t>
      </w:r>
    </w:p>
    <w:p>
      <w:pPr>
        <w:numPr>
          <w:ilvl w:val="0"/>
          <w:numId w:val="1001"/>
        </w:numPr>
        <w:pStyle w:val="Compact"/>
      </w:pPr>
      <w:r>
        <w:rPr>
          <w:bCs/>
          <w:b/>
        </w:rPr>
        <w:t xml:space="preserve">Budget &amp; Cost Control:</w:t>
      </w:r>
      <w:r>
        <w:t xml:space="preserve"> </w:t>
      </w:r>
      <w:r>
        <w:t xml:space="preserve">Management of the project budget in both EGP and USD, ensuring compliance with the Egyptian Central Bank foreign exchange regulations and the financial reporting standards required for projects in</w:t>
      </w:r>
      <w:r>
        <w:t xml:space="preserve"> </w:t>
      </w:r>
      <w:r>
        <w:t xml:space="preserve">Egypt Cairo</w:t>
      </w:r>
      <w:r>
        <w:t xml:space="preserve">.</w:t>
      </w:r>
    </w:p>
    <w:p>
      <w:pPr>
        <w:numPr>
          <w:ilvl w:val="0"/>
          <w:numId w:val="1001"/>
        </w:numPr>
        <w:pStyle w:val="Compact"/>
      </w:pPr>
      <w:r>
        <w:rPr>
          <w:bCs/>
          <w:b/>
        </w:rPr>
        <w:t xml:space="preserve">Quality Assurance &amp; Risk Management:</w:t>
      </w:r>
      <w:r>
        <w:t xml:space="preserve"> </w:t>
      </w:r>
      <w:r>
        <w:t xml:space="preserve">Implementation of QA/QC protocols aligned with Egyptian Building Code (EBC) standards and identification of site-specific risks inherent to the</w:t>
      </w:r>
      <w:r>
        <w:t xml:space="preserve"> </w:t>
      </w:r>
      <w:r>
        <w:t xml:space="preserve">Egypt Cairo</w:t>
      </w:r>
      <w:r>
        <w:t xml:space="preserve"> </w:t>
      </w:r>
      <w:r>
        <w:t xml:space="preserve">geographic and climatic conditions.</w:t>
      </w:r>
    </w:p>
    <w:p>
      <w:pPr>
        <w:numPr>
          <w:ilvl w:val="0"/>
          <w:numId w:val="1001"/>
        </w:numPr>
        <w:pStyle w:val="Compact"/>
      </w:pPr>
      <w:r>
        <w:rPr>
          <w:bCs/>
          <w:b/>
        </w:rPr>
        <w:t xml:space="preserve">Progress Reporting:</w:t>
      </w:r>
      <w:r>
        <w:t xml:space="preserve"> </w:t>
      </w:r>
      <w:r>
        <w:t xml:space="preserve">Submission of weekly and monthly progress reports to the client, including earned value analysis, resource utilization metrics, and corrective action plans.</w:t>
      </w:r>
    </w:p>
    <w:p>
      <w:pPr>
        <w:numPr>
          <w:ilvl w:val="0"/>
          <w:numId w:val="1001"/>
        </w:numPr>
        <w:pStyle w:val="Compact"/>
      </w:pPr>
      <w:r>
        <w:rPr>
          <w:bCs/>
          <w:b/>
        </w:rPr>
        <w:t xml:space="preserve">Contract Administration:</w:t>
      </w:r>
      <w:r>
        <w:t xml:space="preserve"> </w:t>
      </w:r>
      <w:r>
        <w:t xml:space="preserve">Oversight of all subcontracts, purchase orders, and vendor agreements executed within</w:t>
      </w:r>
      <w:r>
        <w:t xml:space="preserve"> </w:t>
      </w:r>
      <w:r>
        <w:t xml:space="preserve">Egypt Cairo</w:t>
      </w:r>
      <w:r>
        <w:t xml:space="preserve">, ensuring adherence to the Egyptian Civil Code provisions on commercial contracts.</w:t>
      </w:r>
    </w:p>
    <w:p>
      <w:pPr>
        <w:numPr>
          <w:ilvl w:val="0"/>
          <w:numId w:val="1001"/>
        </w:numPr>
        <w:pStyle w:val="Compact"/>
      </w:pPr>
      <w:r>
        <w:rPr>
          <w:bCs/>
          <w:b/>
        </w:rPr>
        <w:t xml:space="preserve">Health, Safety &amp; Environment (HSE):</w:t>
      </w:r>
      <w:r>
        <w:t xml:space="preserve"> </w:t>
      </w:r>
      <w:r>
        <w:t xml:space="preserve">Enforcement of HSE compliance in accordance with Egyptian Ministry of Manpower regulations applicable to all work sites in</w:t>
      </w:r>
      <w:r>
        <w:t xml:space="preserve"> </w:t>
      </w:r>
      <w:r>
        <w:t xml:space="preserve">Egypt Cairo</w:t>
      </w:r>
      <w:r>
        <w:t xml:space="preserve">.</w:t>
      </w:r>
    </w:p>
    <w:bookmarkEnd w:id="22"/>
    <w:bookmarkStart w:id="23" w:name="detailed-quotation-estimate-line-items"/>
    <w:p>
      <w:pPr>
        <w:pStyle w:val="Heading2"/>
      </w:pPr>
      <w:r>
        <w:t xml:space="preserve">3. Detailed Quotation Estimate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(EGP)</w:t>
            </w:r>
          </w:p>
        </w:tc>
        <w:tc>
          <w:tcPr/>
          <w:p>
            <w:pPr>
              <w:pStyle w:val="Compact"/>
              <w:jc w:val="left"/>
            </w:pPr>
            <w:r>
              <w:t xml:space="preserve">Amount (EGP)</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Project Manager – Full-time on-site engagement in Egypt Cairo (NAC District)</w:t>
            </w:r>
          </w:p>
        </w:tc>
        <w:tc>
          <w:tcPr/>
          <w:p>
            <w:pPr>
              <w:pStyle w:val="Compact"/>
              <w:jc w:val="left"/>
            </w:pPr>
            <w:r>
              <w:t xml:space="preserve">12 Months</w:t>
            </w:r>
          </w:p>
        </w:tc>
        <w:tc>
          <w:tcPr/>
          <w:p>
            <w:pPr>
              <w:pStyle w:val="Compact"/>
              <w:jc w:val="left"/>
            </w:pPr>
            <w:r>
              <w:t xml:space="preserve">85,000 / month</w:t>
            </w:r>
          </w:p>
        </w:tc>
        <w:tc>
          <w:tcPr/>
          <w:p>
            <w:pPr>
              <w:pStyle w:val="Compact"/>
              <w:jc w:val="left"/>
            </w:pPr>
            <w:r>
              <w:t xml:space="preserve">1,020,000</w:t>
            </w:r>
          </w:p>
        </w:tc>
        <w:tc>
          <w:tcPr/>
          <w:p>
            <w:pPr>
              <w:pStyle w:val="Compact"/>
              <w:jc w:val="left"/>
            </w:pPr>
            <w:r>
              <w:t xml:space="preserve">21,000</w:t>
            </w:r>
          </w:p>
        </w:tc>
      </w:tr>
      <w:tr>
        <w:tc>
          <w:tcPr/>
          <w:p>
            <w:pPr>
              <w:pStyle w:val="Compact"/>
              <w:jc w:val="left"/>
            </w:pPr>
            <w:r>
              <w:t xml:space="preserve">2</w:t>
            </w:r>
          </w:p>
        </w:tc>
        <w:tc>
          <w:tcPr/>
          <w:p>
            <w:pPr>
              <w:pStyle w:val="Compact"/>
              <w:jc w:val="left"/>
            </w:pPr>
            <w:r>
              <w:t xml:space="preserve">Project Planning &amp; Scheduling Software License (Primavera P6 / MS Project) – Annual</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925</w:t>
            </w:r>
          </w:p>
        </w:tc>
      </w:tr>
      <w:tr>
        <w:tc>
          <w:tcPr/>
          <w:p>
            <w:pPr>
              <w:pStyle w:val="Compact"/>
              <w:jc w:val="left"/>
            </w:pPr>
            <w:r>
              <w:t xml:space="preserve">3</w:t>
            </w:r>
          </w:p>
        </w:tc>
        <w:tc>
          <w:tcPr/>
          <w:p>
            <w:pPr>
              <w:pStyle w:val="Compact"/>
              <w:jc w:val="left"/>
            </w:pPr>
            <w:r>
              <w:t xml:space="preserve">Site Supervision &amp; Daily Progress Documentation – Egypt Cairo Project Site</w:t>
            </w:r>
          </w:p>
        </w:tc>
        <w:tc>
          <w:tcPr/>
          <w:p>
            <w:pPr>
              <w:pStyle w:val="Compact"/>
              <w:jc w:val="left"/>
            </w:pPr>
            <w:r>
              <w:t xml:space="preserve">12 Months</w:t>
            </w:r>
          </w:p>
        </w:tc>
        <w:tc>
          <w:tcPr/>
          <w:p>
            <w:pPr>
              <w:pStyle w:val="Compact"/>
              <w:jc w:val="left"/>
            </w:pPr>
            <w:r>
              <w:t xml:space="preserve">30,000 / month</w:t>
            </w:r>
          </w:p>
        </w:tc>
        <w:tc>
          <w:tcPr/>
          <w:p>
            <w:pPr>
              <w:pStyle w:val="Compact"/>
              <w:jc w:val="left"/>
            </w:pPr>
            <w:r>
              <w:t xml:space="preserve">360,000</w:t>
            </w:r>
          </w:p>
        </w:tc>
        <w:tc>
          <w:tcPr/>
          <w:p>
            <w:pPr>
              <w:pStyle w:val="Compact"/>
              <w:jc w:val="left"/>
            </w:pPr>
            <w:r>
              <w:t xml:space="preserve">7,375</w:t>
            </w:r>
          </w:p>
        </w:tc>
      </w:tr>
      <w:tr>
        <w:tc>
          <w:tcPr/>
          <w:p>
            <w:pPr>
              <w:pStyle w:val="Compact"/>
              <w:jc w:val="left"/>
            </w:pPr>
            <w:r>
              <w:t xml:space="preserve">4</w:t>
            </w:r>
          </w:p>
        </w:tc>
        <w:tc>
          <w:tcPr/>
          <w:p>
            <w:pPr>
              <w:pStyle w:val="Compact"/>
              <w:jc w:val="left"/>
            </w:pPr>
            <w:r>
              <w:t xml:space="preserve">Stakeholder Meetings &amp; Government Liaison – Cairo Municipal &amp; NAC Authority</w:t>
            </w:r>
          </w:p>
        </w:tc>
        <w:tc>
          <w:tcPr/>
          <w:p>
            <w:pPr>
              <w:pStyle w:val="Compact"/>
              <w:jc w:val="left"/>
            </w:pPr>
            <w:r>
              <w:t xml:space="preserve">12 Months</w:t>
            </w:r>
          </w:p>
        </w:tc>
        <w:tc>
          <w:tcPr/>
          <w:p>
            <w:pPr>
              <w:pStyle w:val="Compact"/>
              <w:jc w:val="left"/>
            </w:pPr>
            <w:r>
              <w:t xml:space="preserve">20,000 / month</w:t>
            </w:r>
          </w:p>
        </w:tc>
        <w:tc>
          <w:tcPr/>
          <w:p>
            <w:pPr>
              <w:pStyle w:val="Compact"/>
              <w:jc w:val="left"/>
            </w:pPr>
            <w:r>
              <w:t xml:space="preserve">240,000</w:t>
            </w:r>
          </w:p>
        </w:tc>
        <w:tc>
          <w:tcPr/>
          <w:p>
            <w:pPr>
              <w:pStyle w:val="Compact"/>
              <w:jc w:val="left"/>
            </w:pPr>
            <w:r>
              <w:t xml:space="preserve">4,925</w:t>
            </w:r>
          </w:p>
        </w:tc>
      </w:tr>
      <w:tr>
        <w:tc>
          <w:tcPr/>
          <w:p>
            <w:pPr>
              <w:pStyle w:val="Compact"/>
              <w:jc w:val="left"/>
            </w:pPr>
            <w:r>
              <w:t xml:space="preserve">5</w:t>
            </w:r>
          </w:p>
        </w:tc>
        <w:tc>
          <w:tcPr/>
          <w:p>
            <w:pPr>
              <w:pStyle w:val="Compact"/>
              <w:jc w:val="left"/>
            </w:pPr>
            <w:r>
              <w:t xml:space="preserve">Monthly Progress Reporting &amp; Earned Value Analysis – Egypt Cairo Project</w:t>
            </w:r>
          </w:p>
        </w:tc>
        <w:tc>
          <w:tcPr/>
          <w:p>
            <w:pPr>
              <w:pStyle w:val="Compact"/>
              <w:jc w:val="left"/>
            </w:pPr>
            <w:r>
              <w:t xml:space="preserve">12 Months</w:t>
            </w:r>
          </w:p>
        </w:tc>
        <w:tc>
          <w:tcPr/>
          <w:p>
            <w:pPr>
              <w:pStyle w:val="Compact"/>
              <w:jc w:val="left"/>
            </w:pPr>
            <w:r>
              <w:t xml:space="preserve">15,000 / month</w:t>
            </w:r>
          </w:p>
        </w:tc>
        <w:tc>
          <w:tcPr/>
          <w:p>
            <w:pPr>
              <w:pStyle w:val="Compact"/>
              <w:jc w:val="left"/>
            </w:pPr>
            <w:r>
              <w:t xml:space="preserve">180,000</w:t>
            </w:r>
          </w:p>
        </w:tc>
        <w:tc>
          <w:tcPr/>
          <w:p>
            <w:pPr>
              <w:pStyle w:val="Compact"/>
              <w:jc w:val="left"/>
            </w:pPr>
            <w:r>
              <w:t xml:space="preserve">3,695</w:t>
            </w:r>
          </w:p>
        </w:tc>
      </w:tr>
      <w:tr>
        <w:tc>
          <w:tcPr/>
          <w:p>
            <w:pPr>
              <w:pStyle w:val="Compact"/>
              <w:jc w:val="left"/>
            </w:pPr>
            <w:r>
              <w:t xml:space="preserve">6</w:t>
            </w:r>
          </w:p>
        </w:tc>
        <w:tc>
          <w:tcPr/>
          <w:p>
            <w:pPr>
              <w:pStyle w:val="Compact"/>
              <w:jc w:val="left"/>
            </w:pPr>
            <w:r>
              <w:t xml:space="preserve">Risk Register Maintenance &amp; HSE Compliance Audits – Egypt Cairo Site</w:t>
            </w:r>
          </w:p>
        </w:tc>
        <w:tc>
          <w:tcPr/>
          <w:p>
            <w:pPr>
              <w:pStyle w:val="Compact"/>
              <w:jc w:val="left"/>
            </w:pPr>
            <w:r>
              <w:t xml:space="preserve">12 Months</w:t>
            </w:r>
          </w:p>
        </w:tc>
        <w:tc>
          <w:tcPr/>
          <w:p>
            <w:pPr>
              <w:pStyle w:val="Compact"/>
              <w:jc w:val="left"/>
            </w:pPr>
            <w:r>
              <w:t xml:space="preserve">18,000 / month</w:t>
            </w:r>
          </w:p>
        </w:tc>
        <w:tc>
          <w:tcPr/>
          <w:p>
            <w:pPr>
              <w:pStyle w:val="Compact"/>
              <w:jc w:val="left"/>
            </w:pPr>
            <w:r>
              <w:t xml:space="preserve">216,000</w:t>
            </w:r>
          </w:p>
        </w:tc>
        <w:tc>
          <w:tcPr/>
          <w:p>
            <w:pPr>
              <w:pStyle w:val="Compact"/>
              <w:jc w:val="left"/>
            </w:pPr>
            <w:r>
              <w:t xml:space="preserve">4,435</w:t>
            </w:r>
          </w:p>
        </w:tc>
      </w:tr>
      <w:tr>
        <w:tc>
          <w:tcPr/>
          <w:p>
            <w:pPr>
              <w:pStyle w:val="Compact"/>
              <w:jc w:val="left"/>
            </w:pPr>
            <w:r>
              <w:t xml:space="preserve">7</w:t>
            </w:r>
          </w:p>
        </w:tc>
        <w:tc>
          <w:tcPr/>
          <w:p>
            <w:pPr>
              <w:pStyle w:val="Compact"/>
              <w:jc w:val="left"/>
            </w:pPr>
            <w:r>
              <w:t xml:space="preserve">Travel &amp; Local Transportation within Egypt Cairo (Cairo, Giza, NAC)</w:t>
            </w:r>
          </w:p>
        </w:tc>
        <w:tc>
          <w:tcPr/>
          <w:p>
            <w:pPr>
              <w:pStyle w:val="Compact"/>
              <w:jc w:val="left"/>
            </w:pPr>
            <w:r>
              <w:t xml:space="preserve">12 Months</w:t>
            </w:r>
          </w:p>
        </w:tc>
        <w:tc>
          <w:tcPr/>
          <w:p>
            <w:pPr>
              <w:pStyle w:val="Compact"/>
              <w:jc w:val="left"/>
            </w:pPr>
            <w:r>
              <w:t xml:space="preserve">10,000 / month</w:t>
            </w:r>
          </w:p>
        </w:tc>
        <w:tc>
          <w:tcPr/>
          <w:p>
            <w:pPr>
              <w:pStyle w:val="Compact"/>
              <w:jc w:val="left"/>
            </w:pPr>
            <w:r>
              <w:t xml:space="preserve">120,000</w:t>
            </w:r>
          </w:p>
        </w:tc>
        <w:tc>
          <w:tcPr/>
          <w:p>
            <w:pPr>
              <w:pStyle w:val="Compact"/>
              <w:jc w:val="left"/>
            </w:pPr>
            <w:r>
              <w:t xml:space="preserve">2,460</w:t>
            </w:r>
          </w:p>
        </w:tc>
      </w:tr>
      <w:tr>
        <w:tc>
          <w:tcPr/>
          <w:p>
            <w:pPr>
              <w:pStyle w:val="Compact"/>
              <w:jc w:val="left"/>
            </w:pPr>
            <w:r>
              <w:t xml:space="preserve">8</w:t>
            </w:r>
          </w:p>
        </w:tc>
        <w:tc>
          <w:tcPr/>
          <w:p>
            <w:pPr>
              <w:pStyle w:val="Compact"/>
              <w:jc w:val="left"/>
            </w:pPr>
            <w:r>
              <w:t xml:space="preserve">Project Closeout Documentation &amp; Handover Package – Egypt Cairo</w:t>
            </w:r>
          </w:p>
        </w:tc>
        <w:tc>
          <w:tcPr/>
          <w:p>
            <w:pPr>
              <w:pStyle w:val="Compact"/>
              <w:jc w:val="left"/>
            </w:pPr>
            <w:r>
              <w:t xml:space="preserve">1 Month</w:t>
            </w:r>
          </w:p>
        </w:tc>
        <w:tc>
          <w:tcPr/>
          <w:p>
            <w:pPr>
              <w:pStyle w:val="Compact"/>
              <w:jc w:val="left"/>
            </w:pPr>
            <w:r>
              <w:t xml:space="preserve">50,000</w:t>
            </w:r>
          </w:p>
        </w:tc>
        <w:tc>
          <w:tcPr/>
          <w:p>
            <w:pPr>
              <w:pStyle w:val="Compact"/>
              <w:jc w:val="left"/>
            </w:pPr>
            <w:r>
              <w:t xml:space="preserve">50,000</w:t>
            </w:r>
          </w:p>
        </w:tc>
        <w:tc>
          <w:tcPr/>
          <w:p>
            <w:pPr>
              <w:pStyle w:val="Compact"/>
              <w:jc w:val="left"/>
            </w:pPr>
            <w:r>
              <w:t xml:space="preserve">1,025</w:t>
            </w:r>
          </w:p>
        </w:tc>
      </w:tr>
      <w:tr>
        <w:tc>
          <w:tcPr>
            <w:gridSpan w:val="4"/>
          </w:tcPr>
          <w:p>
            <w:pPr>
              <w:pStyle w:val="Compact"/>
              <w:jc w:val="left"/>
            </w:pPr>
            <w:r>
              <w:rPr>
                <w:bCs/>
                <w:b/>
              </w:rPr>
              <w:t xml:space="preserve">TOTAL QUOTATION ESTIMATE (Before VAT)</w:t>
            </w:r>
          </w:p>
        </w:tc>
        <w:tc>
          <w:tcPr/>
          <w:p>
            <w:pPr>
              <w:pStyle w:val="Compact"/>
              <w:jc w:val="left"/>
            </w:pPr>
            <w:r>
              <w:rPr>
                <w:bCs/>
                <w:b/>
              </w:rPr>
              <w:t xml:space="preserve">2,231,000</w:t>
            </w:r>
          </w:p>
        </w:tc>
        <w:tc>
          <w:tcPr/>
          <w:p>
            <w:pPr>
              <w:pStyle w:val="Compact"/>
              <w:jc w:val="left"/>
            </w:pPr>
            <w:r>
              <w:rPr>
                <w:bCs/>
                <w:b/>
              </w:rPr>
              <w:t xml:space="preserve">45,840</w:t>
            </w:r>
          </w:p>
        </w:tc>
      </w:tr>
      <w:tr>
        <w:tc>
          <w:tcPr>
            <w:gridSpan w:val="4"/>
          </w:tcPr>
          <w:p>
            <w:pPr>
              <w:pStyle w:val="Compact"/>
              <w:jc w:val="left"/>
            </w:pPr>
            <w:r>
              <w:t xml:space="preserve">VAT (14% – Egyptian Tax Authority)</w:t>
            </w:r>
          </w:p>
        </w:tc>
        <w:tc>
          <w:tcPr/>
          <w:p>
            <w:pPr>
              <w:pStyle w:val="Compact"/>
              <w:jc w:val="left"/>
            </w:pPr>
            <w:r>
              <w:t xml:space="preserve">312,340</w:t>
            </w:r>
          </w:p>
        </w:tc>
        <w:tc>
          <w:tcPr/>
          <w:p>
            <w:pPr>
              <w:pStyle w:val="Compact"/>
              <w:jc w:val="left"/>
            </w:pPr>
            <w:r>
              <w:t xml:space="preserve">6,418</w:t>
            </w:r>
          </w:p>
        </w:tc>
      </w:tr>
      <w:tr>
        <w:tc>
          <w:tcPr>
            <w:gridSpan w:val="4"/>
          </w:tcPr>
          <w:p>
            <w:pPr>
              <w:pStyle w:val="Compact"/>
              <w:jc w:val="left"/>
            </w:pPr>
            <w:r>
              <w:rPr>
                <w:bCs/>
                <w:b/>
              </w:rPr>
              <w:t xml:space="preserve">GRAND TOTAL (Inclusive of VAT)</w:t>
            </w:r>
          </w:p>
        </w:tc>
        <w:tc>
          <w:tcPr/>
          <w:p>
            <w:pPr>
              <w:pStyle w:val="Compact"/>
              <w:jc w:val="left"/>
            </w:pPr>
            <w:r>
              <w:rPr>
                <w:bCs/>
                <w:b/>
              </w:rPr>
              <w:t xml:space="preserve">2,543,340</w:t>
            </w:r>
          </w:p>
        </w:tc>
        <w:tc>
          <w:tcPr/>
          <w:p>
            <w:pPr>
              <w:pStyle w:val="Compact"/>
              <w:jc w:val="left"/>
            </w:pPr>
            <w:r>
              <w:rPr>
                <w:bCs/>
                <w:b/>
              </w:rPr>
              <w:t xml:space="preserve">52,258</w:t>
            </w:r>
          </w:p>
        </w:tc>
      </w:tr>
    </w:tbl>
    <w:bookmarkEnd w:id="23"/>
    <w:bookmarkStart w:id="24" w:name="payment-terms-schedule"/>
    <w:p>
      <w:pPr>
        <w:pStyle w:val="Heading2"/>
      </w:pPr>
      <w:r>
        <w:t xml:space="preserve">4. Payment Terms &amp; Schedule</w:t>
      </w:r>
    </w:p>
    <w:p>
      <w:pPr>
        <w:pStyle w:val="FirstParagraph"/>
      </w:pPr>
      <w:r>
        <w:t xml:space="preserve">This</w:t>
      </w:r>
      <w:r>
        <w:t xml:space="preserve"> </w:t>
      </w:r>
      <w:r>
        <w:t xml:space="preserve">Quotation Estimate</w:t>
      </w:r>
      <w:r>
        <w:t xml:space="preserve"> </w:t>
      </w:r>
      <w:r>
        <w:t xml:space="preserve">is structured with the following payment milestones, payable within 15 business days of invoice issuance:</w:t>
      </w:r>
    </w:p>
    <w:p>
      <w:pPr>
        <w:numPr>
          <w:ilvl w:val="0"/>
          <w:numId w:val="1002"/>
        </w:numPr>
        <w:pStyle w:val="Compact"/>
      </w:pPr>
      <w:r>
        <w:rPr>
          <w:bCs/>
          <w:b/>
        </w:rPr>
        <w:t xml:space="preserve">Milestone 1 (25%):</w:t>
      </w:r>
      <w:r>
        <w:t xml:space="preserve"> </w:t>
      </w:r>
      <w:r>
        <w:t xml:space="preserve">Upon signed acceptance of this</w:t>
      </w:r>
      <w:r>
        <w:t xml:space="preserve"> </w:t>
      </w:r>
      <w:r>
        <w:t xml:space="preserve">Quotation Estimate</w:t>
      </w:r>
      <w:r>
        <w:t xml:space="preserve"> </w:t>
      </w:r>
      <w:r>
        <w:t xml:space="preserve">and commencement of the</w:t>
      </w:r>
      <w:r>
        <w:t xml:space="preserve"> </w:t>
      </w:r>
      <w:r>
        <w:t xml:space="preserve">Project Manager</w:t>
      </w:r>
      <w:r>
        <w:t xml:space="preserve"> </w:t>
      </w:r>
      <w:r>
        <w:t xml:space="preserve">engagement in</w:t>
      </w:r>
      <w:r>
        <w:t xml:space="preserve"> </w:t>
      </w:r>
      <w:r>
        <w:t xml:space="preserve">Egypt Cairo</w:t>
      </w:r>
      <w:r>
        <w:t xml:space="preserve">.</w:t>
      </w:r>
    </w:p>
    <w:p>
      <w:pPr>
        <w:numPr>
          <w:ilvl w:val="0"/>
          <w:numId w:val="1002"/>
        </w:numPr>
        <w:pStyle w:val="Compact"/>
      </w:pPr>
      <w:r>
        <w:rPr>
          <w:bCs/>
          <w:b/>
        </w:rPr>
        <w:t xml:space="preserve">Milestone 2 (25%):</w:t>
      </w:r>
      <w:r>
        <w:t xml:space="preserve"> </w:t>
      </w:r>
      <w:r>
        <w:t xml:space="preserve">Upon completion of Month 4 and submission of the interim progress report.</w:t>
      </w:r>
    </w:p>
    <w:p>
      <w:pPr>
        <w:numPr>
          <w:ilvl w:val="0"/>
          <w:numId w:val="1002"/>
        </w:numPr>
        <w:pStyle w:val="Compact"/>
      </w:pPr>
      <w:r>
        <w:rPr>
          <w:bCs/>
          <w:b/>
        </w:rPr>
        <w:t xml:space="preserve">Milestone 3 (25%):</w:t>
      </w:r>
      <w:r>
        <w:t xml:space="preserve"> </w:t>
      </w:r>
      <w:r>
        <w:t xml:space="preserve">Upon completion of Month 8 and verification of all HSE compliance audits in</w:t>
      </w:r>
      <w:r>
        <w:t xml:space="preserve"> </w:t>
      </w:r>
      <w:r>
        <w:t xml:space="preserve">Egypt Cairo</w:t>
      </w:r>
      <w:r>
        <w:t xml:space="preserve">.</w:t>
      </w:r>
    </w:p>
    <w:p>
      <w:pPr>
        <w:numPr>
          <w:ilvl w:val="0"/>
          <w:numId w:val="1002"/>
        </w:numPr>
        <w:pStyle w:val="Compact"/>
      </w:pPr>
      <w:r>
        <w:rPr>
          <w:bCs/>
          <w:b/>
        </w:rPr>
        <w:t xml:space="preserve">Milestone 4 (25%):</w:t>
      </w:r>
      <w:r>
        <w:t xml:space="preserve"> </w:t>
      </w:r>
      <w:r>
        <w:t xml:space="preserve">Upon project closeout, handover of all documentation, and final acceptance by the client in</w:t>
      </w:r>
      <w:r>
        <w:t xml:space="preserve"> </w:t>
      </w:r>
      <w:r>
        <w:t xml:space="preserve">Egypt Cairo</w:t>
      </w:r>
      <w:r>
        <w:t xml:space="preserve">.</w:t>
      </w:r>
    </w:p>
    <w:bookmarkEnd w:id="24"/>
    <w:bookmarkStart w:id="25" w:name="terms-conditions"/>
    <w:p>
      <w:pPr>
        <w:pStyle w:val="Heading2"/>
      </w:pPr>
      <w:r>
        <w:t xml:space="preserve">5. Terms &amp;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prevailing exchange rates between EGP and USD and market conditions in</w:t>
      </w:r>
      <w:r>
        <w:t xml:space="preserve"> </w:t>
      </w:r>
      <w:r>
        <w:t xml:space="preserve">Egypt Cairo</w:t>
      </w:r>
      <w:r>
        <w:t xml:space="preserve">.</w:t>
      </w:r>
    </w:p>
    <w:p>
      <w:pPr>
        <w:pStyle w:val="BodyText"/>
      </w:pPr>
      <w:r>
        <w:rPr>
          <w:bCs/>
          <w:b/>
        </w:rPr>
        <w:t xml:space="preserve">5.2</w:t>
      </w:r>
      <w:r>
        <w:t xml:space="preserve"> </w:t>
      </w:r>
      <w:r>
        <w:t xml:space="preserve">The</w:t>
      </w:r>
      <w:r>
        <w:t xml:space="preserve"> </w:t>
      </w:r>
      <w:r>
        <w:t xml:space="preserve">Project Manager</w:t>
      </w:r>
      <w:r>
        <w:t xml:space="preserve"> </w:t>
      </w:r>
      <w:r>
        <w:t xml:space="preserve">shall be available on-site in</w:t>
      </w:r>
      <w:r>
        <w:t xml:space="preserve"> </w:t>
      </w:r>
      <w:r>
        <w:t xml:space="preserve">Egypt Cairo</w:t>
      </w:r>
      <w:r>
        <w:t xml:space="preserve"> </w:t>
      </w:r>
      <w:r>
        <w:t xml:space="preserve">for a minimum of five (5) working days per week, Monday through Friday, in accordance with the standard working week in Egypt.</w:t>
      </w:r>
    </w:p>
    <w:p>
      <w:pPr>
        <w:pStyle w:val="BodyText"/>
      </w:pPr>
      <w:r>
        <w:rPr>
          <w:bCs/>
          <w:b/>
        </w:rPr>
        <w:t xml:space="preserve">5.3</w:t>
      </w:r>
      <w:r>
        <w:t xml:space="preserve"> </w:t>
      </w:r>
      <w:r>
        <w:t xml:space="preserve">Any scope changes, additional work orders, or extensions of the</w:t>
      </w:r>
      <w:r>
        <w:t xml:space="preserve"> </w:t>
      </w:r>
      <w:r>
        <w:t xml:space="preserve">Project Manager</w:t>
      </w:r>
      <w:r>
        <w:t xml:space="preserve"> </w:t>
      </w:r>
      <w:r>
        <w:t xml:space="preserve">engagement beyond the twelve-month period outlined in this</w:t>
      </w:r>
      <w:r>
        <w:t xml:space="preserve"> </w:t>
      </w:r>
      <w:r>
        <w:t xml:space="preserve">Quotation Estimate</w:t>
      </w:r>
      <w:r>
        <w:t xml:space="preserve"> </w:t>
      </w:r>
      <w:r>
        <w:t xml:space="preserve">shall be subject to a separate written amendment and revised cost assessment.</w:t>
      </w:r>
    </w:p>
    <w:p>
      <w:pPr>
        <w:pStyle w:val="BodyText"/>
      </w:pPr>
      <w:r>
        <w:rPr>
          <w:bCs/>
          <w:b/>
        </w:rPr>
        <w:t xml:space="preserve">5.4</w:t>
      </w:r>
      <w:r>
        <w:t xml:space="preserve"> </w:t>
      </w:r>
      <w:r>
        <w:t xml:space="preserve">All services rendered under this</w:t>
      </w:r>
      <w:r>
        <w:t xml:space="preserve"> </w:t>
      </w:r>
      <w:r>
        <w:t xml:space="preserve">Quotation Estimate</w:t>
      </w:r>
      <w:r>
        <w:t xml:space="preserve"> </w:t>
      </w:r>
      <w:r>
        <w:t xml:space="preserve">shall comply with the laws of the Arab Republic of Egypt, including but not limited to the Egyptian Labor Law No. 12 of 2003, the Egyptian Civil Code, and all applicable regulations of the Egyptian Tax Authority.</w:t>
      </w:r>
    </w:p>
    <w:p>
      <w:pPr>
        <w:pStyle w:val="BodyText"/>
      </w:pPr>
      <w:r>
        <w:rPr>
          <w:bCs/>
          <w:b/>
        </w:rPr>
        <w:t xml:space="preserve">5.5</w:t>
      </w:r>
      <w:r>
        <w:t xml:space="preserve"> </w:t>
      </w:r>
      <w:r>
        <w:t xml:space="preserve">The client agrees to provide the</w:t>
      </w:r>
      <w:r>
        <w:t xml:space="preserve"> </w:t>
      </w:r>
      <w:r>
        <w:t xml:space="preserve">Project Manager</w:t>
      </w:r>
      <w:r>
        <w:t xml:space="preserve"> </w:t>
      </w:r>
      <w:r>
        <w:t xml:space="preserve">with full access to all project documentation, site areas, and relevant stakeholder contacts within</w:t>
      </w:r>
      <w:r>
        <w:t xml:space="preserve"> </w:t>
      </w:r>
      <w:r>
        <w:t xml:space="preserve">Egypt Cairo</w:t>
      </w:r>
      <w:r>
        <w:t xml:space="preserve"> </w:t>
      </w:r>
      <w:r>
        <w:t xml:space="preserve">necessary for the effective execution of the assigned duties.</w:t>
      </w:r>
    </w:p>
    <w:p>
      <w:pPr>
        <w:pStyle w:val="BodyText"/>
      </w:pPr>
      <w:r>
        <w:rPr>
          <w:bCs/>
          <w:b/>
        </w:rPr>
        <w:t xml:space="preserve">5.6</w:t>
      </w:r>
      <w:r>
        <w:t xml:space="preserve"> </w:t>
      </w:r>
      <w:r>
        <w:t xml:space="preserve">Disputes arising from this</w:t>
      </w:r>
      <w:r>
        <w:t xml:space="preserve"> </w:t>
      </w:r>
      <w:r>
        <w:t xml:space="preserve">Quotation Estimate</w:t>
      </w:r>
      <w:r>
        <w:t xml:space="preserve"> </w:t>
      </w:r>
      <w:r>
        <w:t xml:space="preserve">shall be resolved through amicable negotiation. In the event of unresolved disagreement, matters shall be referred to arbitration under the rules of the Egyptian Arbitration Center (EAC) in</w:t>
      </w:r>
      <w:r>
        <w:t xml:space="preserve"> </w:t>
      </w:r>
      <w:r>
        <w:t xml:space="preserve">Egypt Cairo</w:t>
      </w:r>
      <w:r>
        <w:t xml:space="preserve">.</w:t>
      </w:r>
    </w:p>
    <w:bookmarkEnd w:id="25"/>
    <w:bookmarkStart w:id="26" w:name="assumptions-exclusions"/>
    <w:p>
      <w:pPr>
        <w:pStyle w:val="Heading2"/>
      </w:pPr>
      <w:r>
        <w:t xml:space="preserve">6. Assumptions &amp; Exclusions</w:t>
      </w:r>
    </w:p>
    <w:p>
      <w:pPr>
        <w:pStyle w:val="FirstParagraph"/>
      </w:pPr>
      <w:r>
        <w:t xml:space="preserve">This</w:t>
      </w:r>
      <w:r>
        <w:t xml:space="preserve"> </w:t>
      </w:r>
      <w:r>
        <w:t xml:space="preserve">Quotation Estimate</w:t>
      </w:r>
      <w:r>
        <w:t xml:space="preserve"> </w:t>
      </w:r>
      <w:r>
        <w:t xml:space="preserve">assumes that the client will provide a dedicated office space at the</w:t>
      </w:r>
      <w:r>
        <w:t xml:space="preserve"> </w:t>
      </w:r>
      <w:r>
        <w:t xml:space="preserve">Egypt Cairo</w:t>
      </w:r>
      <w:r>
        <w:t xml:space="preserve"> </w:t>
      </w:r>
      <w:r>
        <w:t xml:space="preserve">project site, along with necessary IT infrastructure (desktop computer, internet connectivity, and communication tools). The following are excluded from this</w:t>
      </w:r>
      <w:r>
        <w:t xml:space="preserve"> </w:t>
      </w:r>
      <w:r>
        <w:t xml:space="preserve">Quotation Estimate</w:t>
      </w:r>
      <w:r>
        <w:t xml:space="preserve">: engineering design fees, construction labor costs, material procurement, third-party testing and inspection fees, and any costs arising from force majeure events affecting the</w:t>
      </w:r>
      <w:r>
        <w:t xml:space="preserve"> </w:t>
      </w:r>
      <w:r>
        <w:t xml:space="preserve">Egypt Cairo</w:t>
      </w:r>
      <w:r>
        <w:t xml:space="preserve"> </w:t>
      </w:r>
      <w:r>
        <w:t xml:space="preserve">project site.</w:t>
      </w:r>
    </w:p>
    <w:p>
      <w:pPr>
        <w:pStyle w:val="BodyText"/>
      </w:pPr>
      <w:r>
        <w:rPr>
          <w:bCs/>
          <w:b/>
        </w:rPr>
        <w:t xml:space="preserve">Important Note:</w:t>
      </w:r>
      <w:r>
        <w:t xml:space="preserve"> </w:t>
      </w:r>
      <w:r>
        <w:t xml:space="preserve">This</w:t>
      </w:r>
      <w:r>
        <w:t xml:space="preserve"> </w:t>
      </w:r>
      <w:r>
        <w:t xml:space="preserve">Quotation Estimate</w:t>
      </w:r>
      <w:r>
        <w:t xml:space="preserve"> </w:t>
      </w:r>
      <w:r>
        <w:t xml:space="preserve">is prepared exclusively for Horizon Infrastructure Development Co., Ltd. and is non-transferable. All rates are quoted in Egyptian Pounds (EGP) with a reference conversion to US Dollars (USD) at the prevailing Central Bank of Egypt rate on the date of issue. The</w:t>
      </w:r>
      <w:r>
        <w:t xml:space="preserve"> </w:t>
      </w:r>
      <w:r>
        <w:t xml:space="preserve">Project Manager</w:t>
      </w:r>
      <w:r>
        <w:t xml:space="preserve"> </w:t>
      </w:r>
      <w:r>
        <w:t xml:space="preserve">engagement is strictly limited to the geographic scope of</w:t>
      </w:r>
      <w:r>
        <w:t xml:space="preserve"> </w:t>
      </w:r>
      <w:r>
        <w:t xml:space="preserve">Egypt Cairo</w:t>
      </w:r>
      <w:r>
        <w:t xml:space="preserve"> </w:t>
      </w:r>
      <w:r>
        <w:t xml:space="preserve">and its immediate administrative districts as defined in this document.</w:t>
      </w:r>
    </w:p>
    <w:p>
      <w:pPr>
        <w:pStyle w:val="BodyText"/>
      </w:pPr>
      <w:r>
        <w:rPr>
          <w:bCs/>
          <w:b/>
        </w:rPr>
        <w:t xml:space="preserve">Prepared By:</w:t>
      </w:r>
    </w:p>
    <w:p>
      <w:pPr>
        <w:pStyle w:val="BodyText"/>
      </w:pPr>
      <w:r>
        <w:t xml:space="preserve">Nile Apex Consulting &amp; Project Management Services</w:t>
      </w:r>
    </w:p>
    <w:p>
      <w:pPr>
        <w:pStyle w:val="BodyText"/>
      </w:pPr>
      <w:r>
        <w:t xml:space="preserve">Authorized Signatory</w:t>
      </w:r>
    </w:p>
    <w:p>
      <w:pPr>
        <w:pStyle w:val="BodyText"/>
      </w:pPr>
      <w:r>
        <w:t xml:space="preserve">Name: Eng. Mahmoud El-Sayed</w:t>
      </w:r>
      <w:r>
        <w:br/>
      </w:r>
      <w:r>
        <w:t xml:space="preserve">Title: Managing Director</w:t>
      </w:r>
      <w:r>
        <w:br/>
      </w:r>
      <w:r>
        <w:t xml:space="preserve">Date: _______________</w:t>
      </w:r>
    </w:p>
    <w:p>
      <w:pPr>
        <w:pStyle w:val="BodyText"/>
      </w:pPr>
      <w:r>
        <w:rPr>
          <w:bCs/>
          <w:b/>
        </w:rPr>
        <w:t xml:space="preserve">Accepted By (Client):</w:t>
      </w:r>
    </w:p>
    <w:p>
      <w:pPr>
        <w:pStyle w:val="BodyText"/>
      </w:pPr>
      <w:r>
        <w:t xml:space="preserve">Horizon Infrastructure Development Co., Ltd.</w:t>
      </w:r>
    </w:p>
    <w:p>
      <w:pPr>
        <w:pStyle w:val="BodyText"/>
      </w:pPr>
      <w:r>
        <w:t xml:space="preserve">Authorized Representative</w:t>
      </w:r>
    </w:p>
    <w:p>
      <w:pPr>
        <w:pStyle w:val="BodyText"/>
      </w:pPr>
      <w:r>
        <w:t xml:space="preserve">Name: _________________________</w:t>
      </w:r>
      <w:r>
        <w:br/>
      </w:r>
      <w:r>
        <w:t xml:space="preserve">Title: _________________________</w:t>
      </w:r>
      <w:r>
        <w:br/>
      </w:r>
      <w:r>
        <w:t xml:space="preserve">Date: _______________</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Egypt Cairo</dc:title>
  <dc:creator/>
  <dc:language>en</dc:language>
  <cp:keywords/>
  <dcterms:created xsi:type="dcterms:W3CDTF">2026-10-10T03:58:11Z</dcterms:created>
  <dcterms:modified xsi:type="dcterms:W3CDTF">2026-10-10T03:58:11Z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