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Project Manager Services — France Paris</w:t>
      </w:r>
    </w:p>
    <w:p>
      <w:pPr>
        <w:pStyle w:val="BodyText"/>
      </w:pPr>
      <w:r>
        <w:t xml:space="preserve">Document Reference: QE-FR-2025-0847 | Validity: 60 Days from Issue Date</w:t>
      </w:r>
    </w:p>
    <w:bookmarkEnd w:id="20"/>
    <w:p>
      <w:pPr>
        <w:pStyle w:val="BodyText"/>
      </w:pPr>
      <w:r>
        <w:rPr>
          <w:bCs/>
          <w:b/>
        </w:rPr>
        <w:t xml:space="preserve">Issued By:</w:t>
      </w:r>
      <w:r>
        <w:br/>
      </w:r>
      <w:r>
        <w:t xml:space="preserve">Meridian Consulting Group SAS</w:t>
      </w:r>
      <w:r>
        <w:br/>
      </w:r>
      <w:r>
        <w:t xml:space="preserve">128 Avenue des Champs-Élysées</w:t>
      </w:r>
      <w:r>
        <w:br/>
      </w:r>
      <w:r>
        <w:t xml:space="preserve">75008 Paris, France</w:t>
      </w:r>
      <w:r>
        <w:br/>
      </w:r>
      <w:r>
        <w:t xml:space="preserve">SIRET: 842 567 391 00021</w:t>
      </w:r>
      <w:r>
        <w:br/>
      </w:r>
      <w:r>
        <w:t xml:space="preserve">TVA: FR 42 842567391</w:t>
      </w:r>
    </w:p>
    <w:p>
      <w:pPr>
        <w:pStyle w:val="BodyText"/>
      </w:pPr>
      <w:r>
        <w:rPr>
          <w:bCs/>
          <w:b/>
        </w:rPr>
        <w:t xml:space="preserve">Prepared For:</w:t>
      </w:r>
      <w:r>
        <w:br/>
      </w:r>
      <w:r>
        <w:t xml:space="preserve">[Client Company Name]</w:t>
      </w:r>
      <w:r>
        <w:br/>
      </w:r>
      <w:r>
        <w:t xml:space="preserve">[Client Address]</w:t>
      </w:r>
      <w:r>
        <w:br/>
      </w:r>
      <w:r>
        <w:t xml:space="preserve">75000 Paris, France</w:t>
      </w:r>
      <w:r>
        <w:br/>
      </w:r>
      <w:r>
        <w:t xml:space="preserve">Contact: [Client Contact Name]</w:t>
      </w:r>
      <w:r>
        <w:br/>
      </w:r>
      <w:r>
        <w:t xml:space="preserve">Email: [client.email@company.fr]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Consulting Group SAS to provide a comprehensive and transparent financial proposal for the engagement of a dedicated</w:t>
      </w:r>
      <w:r>
        <w:t xml:space="preserve"> </w:t>
      </w:r>
      <w:r>
        <w:t xml:space="preserve">Project Manager</w:t>
      </w:r>
      <w:r>
        <w:t xml:space="preserve"> </w:t>
      </w:r>
      <w:r>
        <w:t xml:space="preserve">to be deployed and operational within the metropolitan area of</w:t>
      </w:r>
      <w:r>
        <w:t xml:space="preserve"> </w:t>
      </w:r>
      <w:r>
        <w:t xml:space="preserve">France Paris</w:t>
      </w:r>
      <w:r>
        <w:t xml:space="preserve">. This document outlines the full scope of services, associated costs, payment terms, and contractual conditions governing the professional relationship between the parties. The</w:t>
      </w:r>
      <w:r>
        <w:t xml:space="preserve"> </w:t>
      </w:r>
      <w:r>
        <w:t xml:space="preserve">Quotation Estimate</w:t>
      </w:r>
      <w:r>
        <w:t xml:space="preserve"> </w:t>
      </w:r>
      <w:r>
        <w:t xml:space="preserve">is prepared in strict compliance with French commercial law (Code de commerce) and applicable European Union regulations regarding service provision and professional engagement.</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be a senior-level professional with a minimum of ten (10) years of demonstrated experience in cross-functional project delivery, holding a PMP (Project Management Professional) certification and fluency in both French and English. The</w:t>
      </w:r>
      <w:r>
        <w:t xml:space="preserve"> </w:t>
      </w:r>
      <w:r>
        <w:t xml:space="preserve">Project Manager</w:t>
      </w:r>
      <w:r>
        <w:t xml:space="preserve"> </w:t>
      </w:r>
      <w:r>
        <w:t xml:space="preserve">will be physically based in</w:t>
      </w:r>
      <w:r>
        <w:t xml:space="preserve"> </w:t>
      </w:r>
      <w:r>
        <w:t xml:space="preserve">France Paris</w:t>
      </w:r>
      <w:r>
        <w:t xml:space="preserve">, operating from the client's designated office premises or a mutually agreed co-working facility within the 75th arrondissement.</w:t>
      </w:r>
    </w:p>
    <w:p>
      <w:pPr>
        <w:pStyle w:val="BodyText"/>
      </w:pPr>
      <w:r>
        <w:t xml:space="preserve">The primary responsibilities of the</w:t>
      </w:r>
      <w:r>
        <w:t xml:space="preserve"> </w:t>
      </w:r>
      <w:r>
        <w:t xml:space="preserve">Project Manager</w:t>
      </w:r>
      <w:r>
        <w:t xml:space="preserve"> </w:t>
      </w:r>
      <w:r>
        <w:t xml:space="preserve">include, but are not limited to:</w:t>
      </w:r>
    </w:p>
    <w:p>
      <w:pPr>
        <w:numPr>
          <w:ilvl w:val="0"/>
          <w:numId w:val="1001"/>
        </w:numPr>
        <w:pStyle w:val="Compact"/>
      </w:pPr>
      <w:r>
        <w:t xml:space="preserve">End-to-end project planning, scheduling, and resource allocation for all assigned initiatives within the</w:t>
      </w:r>
      <w:r>
        <w:t xml:space="preserve"> </w:t>
      </w:r>
      <w:r>
        <w:t xml:space="preserve">France Paris</w:t>
      </w:r>
      <w:r>
        <w:t xml:space="preserve"> </w:t>
      </w:r>
      <w:r>
        <w:t xml:space="preserve">operational zone.</w:t>
      </w:r>
    </w:p>
    <w:p>
      <w:pPr>
        <w:numPr>
          <w:ilvl w:val="0"/>
          <w:numId w:val="1001"/>
        </w:numPr>
        <w:pStyle w:val="Compact"/>
      </w:pPr>
      <w:r>
        <w:t xml:space="preserve">Stakeholder management and coordination with local French regulatory bodies, municipal authorities, and industry partners based in Paris.</w:t>
      </w:r>
    </w:p>
    <w:p>
      <w:pPr>
        <w:numPr>
          <w:ilvl w:val="0"/>
          <w:numId w:val="1001"/>
        </w:numPr>
        <w:pStyle w:val="Compact"/>
      </w:pPr>
      <w:r>
        <w:t xml:space="preserve">Development and maintenance of detailed project charters, work breakdown structures (WBS), Gantt charts, and risk registers.</w:t>
      </w:r>
    </w:p>
    <w:p>
      <w:pPr>
        <w:numPr>
          <w:ilvl w:val="0"/>
          <w:numId w:val="1001"/>
        </w:numPr>
        <w:pStyle w:val="Compact"/>
      </w:pPr>
      <w:r>
        <w:t xml:space="preserve">Weekly progress reporting to the client's executive leadership team, including variance analysis and corrective action recommendations.</w:t>
      </w:r>
    </w:p>
    <w:p>
      <w:pPr>
        <w:numPr>
          <w:ilvl w:val="0"/>
          <w:numId w:val="1001"/>
        </w:numPr>
        <w:pStyle w:val="Compact"/>
      </w:pPr>
      <w:r>
        <w:t xml:space="preserve">Budget oversight and cost control, ensuring all expenditures align with the approved financial framework established in this</w:t>
      </w:r>
      <w:r>
        <w:t xml:space="preserve"> </w:t>
      </w:r>
      <w:r>
        <w:t xml:space="preserve">Quotation Estimate</w:t>
      </w:r>
      <w:r>
        <w:t xml:space="preserve">.</w:t>
      </w:r>
    </w:p>
    <w:p>
      <w:pPr>
        <w:numPr>
          <w:ilvl w:val="0"/>
          <w:numId w:val="1001"/>
        </w:numPr>
        <w:pStyle w:val="Compact"/>
      </w:pPr>
      <w:r>
        <w:t xml:space="preserve">Quality assurance and compliance verification in accordance with ISO 21500 and French national standards (NF X 35-102).</w:t>
      </w:r>
    </w:p>
    <w:p>
      <w:pPr>
        <w:numPr>
          <w:ilvl w:val="0"/>
          <w:numId w:val="1001"/>
        </w:numPr>
        <w:pStyle w:val="Compact"/>
      </w:pPr>
      <w:r>
        <w:t xml:space="preserve">Facilitation of sprint planning, retrospectives, and agile ceremonies as required by the project methodology.</w:t>
      </w:r>
    </w:p>
    <w:p>
      <w:pPr>
        <w:numPr>
          <w:ilvl w:val="0"/>
          <w:numId w:val="1001"/>
        </w:numPr>
        <w:pStyle w:val="Compact"/>
      </w:pPr>
      <w:r>
        <w:t xml:space="preserve">Vendor and subcontractor management for all third-party services procured within the</w:t>
      </w:r>
      <w:r>
        <w:t xml:space="preserve"> </w:t>
      </w:r>
      <w:r>
        <w:t xml:space="preserve">France Paris</w:t>
      </w:r>
      <w:r>
        <w:t xml:space="preserve"> </w:t>
      </w:r>
      <w:r>
        <w:t xml:space="preserve">region.</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cost structure for the</w:t>
      </w:r>
      <w:r>
        <w:t xml:space="preserve"> </w:t>
      </w:r>
      <w:r>
        <w:t xml:space="preserve">Project Manager</w:t>
      </w:r>
      <w:r>
        <w:t xml:space="preserve"> </w:t>
      </w:r>
      <w:r>
        <w:t xml:space="preserve">engagement as part of this</w:t>
      </w:r>
      <w:r>
        <w:t xml:space="preserve"> </w:t>
      </w:r>
      <w:r>
        <w:t xml:space="preserve">Quotation Estimate</w:t>
      </w:r>
      <w:r>
        <w:t xml:space="preserve"> </w:t>
      </w:r>
      <w:r>
        <w:t xml:space="preserve">for services rendered in</w:t>
      </w:r>
      <w:r>
        <w:t xml:space="preserve"> </w:t>
      </w:r>
      <w:r>
        <w:t xml:space="preserve">France Paris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Project Manager — Full-time engagement (35 hrs/week), based in France Paris</w:t>
            </w:r>
          </w:p>
        </w:tc>
        <w:tc>
          <w:tcPr/>
          <w:p>
            <w:pPr>
              <w:pStyle w:val="Compact"/>
              <w:jc w:val="left"/>
            </w:pPr>
            <w:r>
              <w:t xml:space="preserve">12 months</w:t>
            </w:r>
          </w:p>
        </w:tc>
        <w:tc>
          <w:tcPr/>
          <w:p>
            <w:pPr>
              <w:pStyle w:val="Compact"/>
              <w:jc w:val="left"/>
            </w:pPr>
            <w:r>
              <w:t xml:space="preserve">€1,850 / day</w:t>
            </w:r>
          </w:p>
        </w:tc>
        <w:tc>
          <w:tcPr/>
          <w:p>
            <w:pPr>
              <w:pStyle w:val="Compact"/>
              <w:jc w:val="left"/>
            </w:pPr>
            <w:r>
              <w:t xml:space="preserve">€574,500.00</w:t>
            </w:r>
          </w:p>
        </w:tc>
      </w:tr>
      <w:tr>
        <w:tc>
          <w:tcPr/>
          <w:p>
            <w:pPr>
              <w:pStyle w:val="Compact"/>
              <w:jc w:val="left"/>
            </w:pPr>
            <w:r>
              <w:t xml:space="preserve">2</w:t>
            </w:r>
          </w:p>
        </w:tc>
        <w:tc>
          <w:tcPr/>
          <w:p>
            <w:pPr>
              <w:pStyle w:val="Compact"/>
              <w:jc w:val="left"/>
            </w:pPr>
            <w:r>
              <w:t xml:space="preserve">Project Management Software &amp; Tooling (Jira, MS Project, Confluence licenses)</w:t>
            </w:r>
          </w:p>
        </w:tc>
        <w:tc>
          <w:tcPr/>
          <w:p>
            <w:pPr>
              <w:pStyle w:val="Compact"/>
              <w:jc w:val="left"/>
            </w:pPr>
            <w:r>
              <w:t xml:space="preserve">12 months</w:t>
            </w:r>
          </w:p>
        </w:tc>
        <w:tc>
          <w:tcPr/>
          <w:p>
            <w:pPr>
              <w:pStyle w:val="Compact"/>
              <w:jc w:val="left"/>
            </w:pPr>
            <w:r>
              <w:t xml:space="preserve">€420 / month</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Local Travel &amp; Transportation within France Paris (transit, client site visits)</w:t>
            </w:r>
          </w:p>
        </w:tc>
        <w:tc>
          <w:tcPr/>
          <w:p>
            <w:pPr>
              <w:pStyle w:val="Compact"/>
              <w:jc w:val="left"/>
            </w:pPr>
            <w:r>
              <w:t xml:space="preserve">12 months</w:t>
            </w:r>
          </w:p>
        </w:tc>
        <w:tc>
          <w:tcPr/>
          <w:p>
            <w:pPr>
              <w:pStyle w:val="Compact"/>
              <w:jc w:val="left"/>
            </w:pPr>
            <w:r>
              <w:t xml:space="preserve">€280 / month</w:t>
            </w:r>
          </w:p>
        </w:tc>
        <w:tc>
          <w:tcPr/>
          <w:p>
            <w:pPr>
              <w:pStyle w:val="Compact"/>
              <w:jc w:val="left"/>
            </w:pPr>
            <w:r>
              <w:t xml:space="preserve">€3,360.00</w:t>
            </w:r>
          </w:p>
        </w:tc>
      </w:tr>
      <w:tr>
        <w:tc>
          <w:tcPr/>
          <w:p>
            <w:pPr>
              <w:pStyle w:val="Compact"/>
              <w:jc w:val="left"/>
            </w:pPr>
            <w:r>
              <w:t xml:space="preserve">4</w:t>
            </w:r>
          </w:p>
        </w:tc>
        <w:tc>
          <w:tcPr/>
          <w:p>
            <w:pPr>
              <w:pStyle w:val="Compact"/>
              <w:jc w:val="left"/>
            </w:pPr>
            <w:r>
              <w:t xml:space="preserve">Professional Indemnity Insurance &amp; French Social Contributions (URSSAF)</w:t>
            </w:r>
          </w:p>
        </w:tc>
        <w:tc>
          <w:tcPr/>
          <w:p>
            <w:pPr>
              <w:pStyle w:val="Compact"/>
              <w:jc w:val="left"/>
            </w:pPr>
            <w:r>
              <w:t xml:space="preserve">12 months</w:t>
            </w:r>
          </w:p>
        </w:tc>
        <w:tc>
          <w:tcPr/>
          <w:p>
            <w:pPr>
              <w:pStyle w:val="Compact"/>
              <w:jc w:val="left"/>
            </w:pPr>
            <w:r>
              <w:t xml:space="preserve">€1,150 / month</w:t>
            </w:r>
          </w:p>
        </w:tc>
        <w:tc>
          <w:tcPr/>
          <w:p>
            <w:pPr>
              <w:pStyle w:val="Compact"/>
              <w:jc w:val="left"/>
            </w:pPr>
            <w:r>
              <w:t xml:space="preserve">€13,800.00</w:t>
            </w:r>
          </w:p>
        </w:tc>
      </w:tr>
      <w:tr>
        <w:tc>
          <w:tcPr/>
          <w:p>
            <w:pPr>
              <w:pStyle w:val="Compact"/>
              <w:jc w:val="left"/>
            </w:pPr>
            <w:r>
              <w:t xml:space="preserve">5</w:t>
            </w:r>
          </w:p>
        </w:tc>
        <w:tc>
          <w:tcPr/>
          <w:p>
            <w:pPr>
              <w:pStyle w:val="Compact"/>
              <w:jc w:val="left"/>
            </w:pPr>
            <w:r>
              <w:t xml:space="preserve">Onboarding, Training &amp; Knowledge Transfer (initial 2-week period)</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Monthly Reporting &amp; Governance Meetings (4 per month)</w:t>
            </w:r>
          </w:p>
        </w:tc>
        <w:tc>
          <w:tcPr/>
          <w:p>
            <w:pPr>
              <w:pStyle w:val="Compact"/>
              <w:jc w:val="left"/>
            </w:pPr>
            <w:r>
              <w:t xml:space="preserve">12 months</w:t>
            </w:r>
          </w:p>
        </w:tc>
        <w:tc>
          <w:tcPr/>
          <w:p>
            <w:pPr>
              <w:pStyle w:val="Compact"/>
              <w:jc w:val="left"/>
            </w:pPr>
            <w:r>
              <w:t xml:space="preserve">€350 / session</w:t>
            </w:r>
          </w:p>
        </w:tc>
        <w:tc>
          <w:tcPr/>
          <w:p>
            <w:pPr>
              <w:pStyle w:val="Compact"/>
              <w:jc w:val="left"/>
            </w:pPr>
            <w:r>
              <w:t xml:space="preserve">€16,800.00</w:t>
            </w:r>
          </w:p>
        </w:tc>
      </w:tr>
      <w:tr>
        <w:tc>
          <w:tcPr>
            <w:gridSpan w:val="4"/>
          </w:tcPr>
          <w:p>
            <w:pPr>
              <w:pStyle w:val="Compact"/>
              <w:jc w:val="left"/>
            </w:pPr>
            <w:r>
              <w:t xml:space="preserve">Subtotal (excl. TVA)</w:t>
            </w:r>
          </w:p>
        </w:tc>
        <w:tc>
          <w:tcPr/>
          <w:p>
            <w:pPr>
              <w:pStyle w:val="Compact"/>
              <w:jc w:val="left"/>
            </w:pPr>
            <w:r>
              <w:t xml:space="preserve">€622,000.00</w:t>
            </w:r>
          </w:p>
        </w:tc>
      </w:tr>
      <w:tr>
        <w:tc>
          <w:tcPr>
            <w:gridSpan w:val="4"/>
          </w:tcPr>
          <w:p>
            <w:pPr>
              <w:pStyle w:val="Compact"/>
              <w:jc w:val="left"/>
            </w:pPr>
            <w:r>
              <w:t xml:space="preserve">TVA (20% — French Value Added Tax)</w:t>
            </w:r>
          </w:p>
        </w:tc>
        <w:tc>
          <w:tcPr/>
          <w:p>
            <w:pPr>
              <w:pStyle w:val="Compact"/>
              <w:jc w:val="left"/>
            </w:pPr>
            <w:r>
              <w:t xml:space="preserve">€124,400.00</w:t>
            </w:r>
          </w:p>
        </w:tc>
      </w:tr>
      <w:tr>
        <w:tc>
          <w:tcPr>
            <w:gridSpan w:val="4"/>
          </w:tcPr>
          <w:p>
            <w:pPr>
              <w:pStyle w:val="Compact"/>
              <w:jc w:val="left"/>
            </w:pPr>
            <w:r>
              <w:rPr>
                <w:bCs/>
                <w:b/>
              </w:rPr>
              <w:t xml:space="preserve">TOTAL AMOUNT DUE (incl. TVA)</w:t>
            </w:r>
          </w:p>
        </w:tc>
        <w:tc>
          <w:tcPr/>
          <w:p>
            <w:pPr>
              <w:pStyle w:val="Compact"/>
              <w:jc w:val="left"/>
            </w:pPr>
            <w:r>
              <w:rPr>
                <w:bCs/>
                <w:b/>
              </w:rPr>
              <w:t xml:space="preserve">€746,400.00</w:t>
            </w:r>
          </w:p>
        </w:tc>
      </w:tr>
    </w:tbl>
    <w:bookmarkEnd w:id="23"/>
    <w:bookmarkStart w:id="24" w:name="payment-terms-conditions"/>
    <w:p>
      <w:pPr>
        <w:pStyle w:val="Heading2"/>
      </w:pPr>
      <w:r>
        <w:t xml:space="preserve">4. Payment Terms &amp; Conditions</w:t>
      </w:r>
    </w:p>
    <w:p>
      <w:pPr>
        <w:pStyle w:val="FirstParagraph"/>
      </w:pPr>
      <w:r>
        <w:t xml:space="preserve">Payment for the services described in this</w:t>
      </w:r>
      <w:r>
        <w:t xml:space="preserve"> </w:t>
      </w:r>
      <w:r>
        <w:t xml:space="preserve">Quotation Estimate</w:t>
      </w:r>
      <w:r>
        <w:t xml:space="preserve"> </w:t>
      </w:r>
      <w:r>
        <w:t xml:space="preserve">shall be made via SEPA bank transfer to the account of Meridian Consulting Group SAS, domiciled at BNP Paribas, Paris. Invoices will be issued on a monthly basis, payable within thirty (30) calendar days from the date of invoice issuance, in accordance with French commercial practice (Article L441-10 du Code de commerce). A late payment penalty of 1.5% per month of delay shall apply to any outstanding balance, as mandated by French law. The client acknowledges that this</w:t>
      </w:r>
      <w:r>
        <w:t xml:space="preserve"> </w:t>
      </w:r>
      <w:r>
        <w:t xml:space="preserve">Quotation Estimate</w:t>
      </w:r>
      <w:r>
        <w:t xml:space="preserve"> </w:t>
      </w:r>
      <w:r>
        <w:t xml:space="preserve">constitutes a binding financial commitment upon written acceptance and signature by both parties.</w:t>
      </w:r>
    </w:p>
    <w:bookmarkEnd w:id="24"/>
    <w:bookmarkStart w:id="25" w:name="duration-renewal-termination"/>
    <w:p>
      <w:pPr>
        <w:pStyle w:val="Heading2"/>
      </w:pPr>
      <w:r>
        <w:t xml:space="preserve">5. Duration, Renewal &amp; Termination</w:t>
      </w:r>
    </w:p>
    <w:p>
      <w:pPr>
        <w:pStyle w:val="FirstParagraph"/>
      </w:pPr>
      <w:r>
        <w:t xml:space="preserve">The engagement of the</w:t>
      </w:r>
      <w:r>
        <w:t xml:space="preserve"> </w:t>
      </w:r>
      <w:r>
        <w:t xml:space="preserve">Project Manager</w:t>
      </w:r>
      <w:r>
        <w:t xml:space="preserve"> </w:t>
      </w:r>
      <w:r>
        <w:t xml:space="preserve">under this</w:t>
      </w:r>
      <w:r>
        <w:t xml:space="preserve"> </w:t>
      </w:r>
      <w:r>
        <w:t xml:space="preserve">Quotation Estimate</w:t>
      </w:r>
      <w:r>
        <w:t xml:space="preserve"> </w:t>
      </w:r>
      <w:r>
        <w:t xml:space="preserve">is valid for an initial period of twelve (12) months, commencing on the date of contract execution. The contract may be renewed for successive twelve-month periods by mutual written agreement, provided that a revised</w:t>
      </w:r>
      <w:r>
        <w:t xml:space="preserve"> </w:t>
      </w:r>
      <w:r>
        <w:t xml:space="preserve">Quotation Estimate</w:t>
      </w:r>
      <w:r>
        <w:t xml:space="preserve"> </w:t>
      </w:r>
      <w:r>
        <w:t xml:space="preserve">reflecting any market adjustments is issued no later than sixty (60) days prior to the expiry of the current term. Either party may terminate the engagement with a written notice period of sixty (60) days. In the event of early termination, the client shall be liable for all costs incurred up to the effective date of termination, as itemized in this</w:t>
      </w:r>
      <w:r>
        <w:t xml:space="preserve"> </w:t>
      </w:r>
      <w:r>
        <w:t xml:space="preserve">Quotation Estimate</w:t>
      </w:r>
      <w:r>
        <w:t xml:space="preserve">.</w:t>
      </w:r>
    </w:p>
    <w:bookmarkEnd w:id="25"/>
    <w:bookmarkStart w:id="26" w:name="confidentiality-data-protection"/>
    <w:p>
      <w:pPr>
        <w:pStyle w:val="Heading2"/>
      </w:pPr>
      <w:r>
        <w:t xml:space="preserve">6. Confidentiality &amp; Data Protection</w:t>
      </w:r>
    </w:p>
    <w:p>
      <w:pPr>
        <w:pStyle w:val="FirstParagraph"/>
      </w:pPr>
      <w:r>
        <w:t xml:space="preserve">All information exchanged in connection with this</w:t>
      </w:r>
      <w:r>
        <w:t xml:space="preserve"> </w:t>
      </w:r>
      <w:r>
        <w:t xml:space="preserve">Quotation Estimate</w:t>
      </w:r>
      <w:r>
        <w:t xml:space="preserve"> </w:t>
      </w:r>
      <w:r>
        <w:t xml:space="preserve">and the subsequent</w:t>
      </w:r>
      <w:r>
        <w:t xml:space="preserve"> </w:t>
      </w:r>
      <w:r>
        <w:t xml:space="preserve">Project Manager</w:t>
      </w:r>
      <w:r>
        <w:t xml:space="preserve"> </w:t>
      </w:r>
      <w:r>
        <w:t xml:space="preserve">engagement shall be treated as strictly confidential. The</w:t>
      </w:r>
      <w:r>
        <w:t xml:space="preserve"> </w:t>
      </w:r>
      <w:r>
        <w:t xml:space="preserve">Project Manager</w:t>
      </w:r>
      <w:r>
        <w:t xml:space="preserve"> </w:t>
      </w:r>
      <w:r>
        <w:t xml:space="preserve">shall comply with the General Data Protection Regulation (GDPR) and the French Data Protection Act (Loi Informatique et Libertés, as amended by the CNIL guidelines). All project documentation, client data, and proprietary information processed within the</w:t>
      </w:r>
      <w:r>
        <w:t xml:space="preserve"> </w:t>
      </w:r>
      <w:r>
        <w:t xml:space="preserve">France Paris</w:t>
      </w:r>
      <w:r>
        <w:t xml:space="preserve"> </w:t>
      </w:r>
      <w:r>
        <w:t xml:space="preserve">operational environment shall be stored on servers physically located within the European Union, ensuring full regulatory compliance.</w:t>
      </w:r>
    </w:p>
    <w:bookmarkEnd w:id="26"/>
    <w:bookmarkStart w:id="27" w:name="acceptance-validity"/>
    <w:p>
      <w:pPr>
        <w:pStyle w:val="Heading2"/>
      </w:pPr>
      <w:r>
        <w:t xml:space="preserve">7. Acceptance &amp; Validity</w:t>
      </w:r>
    </w:p>
    <w:p>
      <w:pPr>
        <w:pStyle w:val="FirstParagraph"/>
      </w:pPr>
      <w:r>
        <w:t xml:space="preserve">This</w:t>
      </w:r>
      <w:r>
        <w:t xml:space="preserve"> </w:t>
      </w:r>
      <w:r>
        <w:t xml:space="preserve">Quotation Estimate</w:t>
      </w:r>
      <w:r>
        <w:t xml:space="preserve"> </w:t>
      </w:r>
      <w:r>
        <w:t xml:space="preserve">is valid for a period of sixty (60) days from the date of issue. Acceptance of this</w:t>
      </w:r>
      <w:r>
        <w:t xml:space="preserve"> </w:t>
      </w:r>
      <w:r>
        <w:t xml:space="preserve">Quotation Estimate</w:t>
      </w:r>
      <w:r>
        <w:t xml:space="preserve"> </w:t>
      </w:r>
      <w:r>
        <w:t xml:space="preserve">shall be confirmed by the client's authorized signatory in writing, referencing document number QE-FR-2025-0847. Upon acceptance, a formal Service Level Agreement (SLA) and Master Services Agreement (MSA) specific to the</w:t>
      </w:r>
      <w:r>
        <w:t xml:space="preserve"> </w:t>
      </w:r>
      <w:r>
        <w:t xml:space="preserve">Project Manager</w:t>
      </w:r>
      <w:r>
        <w:t xml:space="preserve"> </w:t>
      </w:r>
      <w:r>
        <w:t xml:space="preserve">role in</w:t>
      </w:r>
      <w:r>
        <w:t xml:space="preserve"> </w:t>
      </w:r>
      <w:r>
        <w:t xml:space="preserve">France Paris</w:t>
      </w:r>
      <w:r>
        <w:t xml:space="preserve"> </w:t>
      </w:r>
      <w:r>
        <w:t xml:space="preserve">shall be executed within ten (10) business days. This</w:t>
      </w:r>
      <w:r>
        <w:t xml:space="preserve"> </w:t>
      </w:r>
      <w:r>
        <w:t xml:space="preserve">Quotation Estimate</w:t>
      </w:r>
      <w:r>
        <w:t xml:space="preserve"> </w:t>
      </w:r>
      <w:r>
        <w:t xml:space="preserve">does not constitute a final contract but serves as the definitive financial and operational framework for the proposed engagement.</w:t>
      </w:r>
    </w:p>
    <w:bookmarkEnd w:id="27"/>
    <w:p>
      <w:pPr>
        <w:pStyle w:val="BodyText"/>
      </w:pPr>
      <w:r>
        <w:rPr>
          <w:bCs/>
          <w:b/>
        </w:rPr>
        <w:t xml:space="preserve">Note:</w:t>
      </w:r>
      <w:r>
        <w:t xml:space="preserve"> </w:t>
      </w:r>
      <w:r>
        <w:t xml:space="preserve">All rates quoted in this</w:t>
      </w:r>
      <w:r>
        <w:t xml:space="preserve"> </w:t>
      </w:r>
      <w:r>
        <w:t xml:space="preserve">Quotation Estimate</w:t>
      </w:r>
      <w:r>
        <w:t xml:space="preserve"> </w:t>
      </w:r>
      <w:r>
        <w:t xml:space="preserve">are exclusive of any additional costs that may arise from scope changes, force majeure events, or regulatory modifications specific to the</w:t>
      </w:r>
      <w:r>
        <w:t xml:space="preserve"> </w:t>
      </w:r>
      <w:r>
        <w:t xml:space="preserve">France Paris</w:t>
      </w:r>
      <w:r>
        <w:t xml:space="preserve"> </w:t>
      </w:r>
      <w:r>
        <w:t xml:space="preserve">jurisdiction. Any such additional costs will be subject to a supplementary</w:t>
      </w:r>
      <w:r>
        <w:t xml:space="preserve"> </w:t>
      </w:r>
      <w:r>
        <w:t xml:space="preserve">Quotation Estimate</w:t>
      </w:r>
      <w:r>
        <w:t xml:space="preserve"> </w:t>
      </w:r>
      <w:r>
        <w:t xml:space="preserve">issued by Meridian Consulting Group SAS prior to implementation.</w:t>
      </w:r>
    </w:p>
    <w:p>
      <w:pPr>
        <w:pStyle w:val="BodyText"/>
      </w:pPr>
      <w:r>
        <w:rPr>
          <w:bCs/>
          <w:b/>
        </w:rPr>
        <w:t xml:space="preserve">For Meridian Consulting Group SAS:</w:t>
      </w:r>
    </w:p>
    <w:p>
      <w:pPr>
        <w:pStyle w:val="BodyText"/>
      </w:pPr>
      <w:r>
        <w:t xml:space="preserve">Name: Laurent Dubois</w:t>
      </w:r>
      <w:r>
        <w:br/>
      </w:r>
      <w:r>
        <w:t xml:space="preserve">Title: Managing Director</w:t>
      </w:r>
      <w:r>
        <w:br/>
      </w:r>
      <w:r>
        <w:t xml:space="preserve">Date: _________________________</w:t>
      </w:r>
    </w:p>
    <w:p>
      <w:pPr>
        <w:pStyle w:val="BodyText"/>
      </w:pPr>
      <w:r>
        <w:rPr>
          <w:bCs/>
          <w:b/>
        </w:rPr>
        <w:t xml:space="preserve">For the Client (Acceptance):</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Meridian Consulting Group SAS</w:t>
      </w:r>
      <w:r>
        <w:t xml:space="preserve"> </w:t>
      </w:r>
      <w:r>
        <w:t xml:space="preserve">| 128 Avenue des Champs-Élysées, 75008 Paris, France | Tel: +33 1 42 68 00 00 | Email: quotations@meridian-consulting.fr</w:t>
      </w:r>
    </w:p>
    <w:p>
      <w:pPr>
        <w:pStyle w:val="BodyText"/>
      </w:pPr>
      <w:r>
        <w:t xml:space="preserve">Registered at the RCS de Paris under number 842 567 391. This</w:t>
      </w:r>
      <w:r>
        <w:t xml:space="preserve"> </w:t>
      </w:r>
      <w:r>
        <w:t xml:space="preserve">Quotation Estimate</w:t>
      </w:r>
      <w:r>
        <w:t xml:space="preserve"> </w:t>
      </w:r>
      <w:r>
        <w:t xml:space="preserve">is governed by the laws of the French Republic. Any disputes arising from this document shall be submitted to the exclusive jurisdiction of the Tribunal de Commerce de Paris.</w:t>
      </w:r>
    </w:p>
    <w:p>
      <w:pPr>
        <w:pStyle w:val="BodyText"/>
      </w:pPr>
      <w:r>
        <w:t xml:space="preserve">Document generated on: [Current Date] | Version: 1.0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France Paris</dc:title>
  <dc:creator/>
  <dc:language>en</dc:language>
  <cp:keywords/>
  <dcterms:created xsi:type="dcterms:W3CDTF">2026-10-10T03:43:23Z</dcterms:created>
  <dcterms:modified xsi:type="dcterms:W3CDTF">2026-10-10T03:43:23Z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