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Project Manager Services — Iran Tehran</w:t>
      </w:r>
    </w:p>
    <w:p>
      <w:pPr>
        <w:pStyle w:val="BodyText"/>
      </w:pPr>
      <w:r>
        <w:t xml:space="preserve">Document Reference: QTE-IRN-TEH-2025-0472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Calendar Days</w:t>
            </w:r>
          </w:p>
        </w:tc>
      </w:tr>
      <w:tr>
        <w:tc>
          <w:tcPr/>
          <w:p>
            <w:pPr>
              <w:pStyle w:val="Compact"/>
              <w:jc w:val="left"/>
            </w:pPr>
            <w:r>
              <w:t xml:space="preserve">Prepared By</w:t>
            </w:r>
          </w:p>
        </w:tc>
        <w:tc>
          <w:tcPr/>
          <w:p>
            <w:pPr>
              <w:pStyle w:val="Compact"/>
              <w:jc w:val="left"/>
            </w:pPr>
            <w:r>
              <w:t xml:space="preserve">Meridian Consulting Group, Tehran Office</w:t>
            </w:r>
          </w:p>
        </w:tc>
        <w:tc>
          <w:tcPr/>
          <w:p>
            <w:pPr>
              <w:pStyle w:val="Compact"/>
              <w:jc w:val="left"/>
            </w:pPr>
            <w:r>
              <w:t xml:space="preserve">Currency</w:t>
            </w:r>
          </w:p>
        </w:tc>
        <w:tc>
          <w:tcPr/>
          <w:p>
            <w:pPr>
              <w:pStyle w:val="Compact"/>
              <w:jc w:val="left"/>
            </w:pPr>
            <w:r>
              <w:t xml:space="preserve">USD (US Dollar) / IRR (Iranian Rial)</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Address</w:t>
            </w:r>
          </w:p>
        </w:tc>
        <w:tc>
          <w:tcPr/>
          <w:p>
            <w:pPr>
              <w:pStyle w:val="Compact"/>
              <w:jc w:val="left"/>
            </w:pPr>
            <w:r>
              <w:t xml:space="preserve">Valiasr Street, Tehran, Iran</w:t>
            </w:r>
          </w:p>
        </w:tc>
      </w:tr>
      <w:tr>
        <w:tc>
          <w:tcPr/>
          <w:p>
            <w:pPr>
              <w:pStyle w:val="Compact"/>
              <w:jc w:val="left"/>
            </w:pPr>
            <w:r>
              <w:t xml:space="preserve">Project Location</w:t>
            </w:r>
          </w:p>
        </w:tc>
        <w:tc>
          <w:tcPr/>
          <w:p>
            <w:pPr>
              <w:pStyle w:val="Compact"/>
              <w:jc w:val="left"/>
            </w:pPr>
            <w:r>
              <w:t xml:space="preserve">Tehran, Islamic Republic of Iran</w:t>
            </w:r>
          </w:p>
        </w:tc>
        <w:tc>
          <w:tcPr/>
          <w:p>
            <w:pPr>
              <w:pStyle w:val="Compact"/>
              <w:jc w:val="left"/>
            </w:pPr>
            <w:r>
              <w:t xml:space="preserve">Engagement Type</w:t>
            </w:r>
          </w:p>
        </w:tc>
        <w:tc>
          <w:tcPr/>
          <w:p>
            <w:pPr>
              <w:pStyle w:val="Compact"/>
              <w:jc w:val="left"/>
            </w:pPr>
            <w:r>
              <w:t xml:space="preserve">Full-Time Project Manager (On-Site)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Consulting Group to formally propose the engagement of a senior</w:t>
      </w:r>
      <w:r>
        <w:t xml:space="preserve"> </w:t>
      </w:r>
      <w:r>
        <w:t xml:space="preserve">Project Manager</w:t>
      </w:r>
      <w:r>
        <w:t xml:space="preserve"> </w:t>
      </w:r>
      <w:r>
        <w:t xml:space="preserve">for the client's ongoing infrastructure and technology development initiative located in</w:t>
      </w:r>
      <w:r>
        <w:t xml:space="preserve"> </w:t>
      </w:r>
      <w:r>
        <w:t xml:space="preserve">Iran Tehran</w:t>
      </w:r>
      <w:r>
        <w:t xml:space="preserve">. This document outlines the scope of services, professional fees, payment structure, and contractual terms governing the assignment. All rates presented herein are calibrated to the current market conditions in Tehran and reflect the specialized expertise required to deliver project management services within the regulatory and operational environment of Iran.</w:t>
      </w:r>
    </w:p>
    <w:bookmarkEnd w:id="21"/>
    <w:bookmarkStart w:id="22" w:name="scope-of-services-project-manager-role"/>
    <w:p>
      <w:pPr>
        <w:pStyle w:val="Heading2"/>
      </w:pPr>
      <w:r>
        <w:t xml:space="preserve">2. Scope of Services — Project Manager Role</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shall be responsible for the end-to-end delivery of the client's project portfolio in</w:t>
      </w:r>
      <w:r>
        <w:t xml:space="preserve"> </w:t>
      </w:r>
      <w:r>
        <w:t xml:space="preserve">Iran Tehran</w:t>
      </w:r>
      <w:r>
        <w:t xml:space="preserve">. The scope encompasses the following core responsibilities:</w:t>
      </w:r>
    </w:p>
    <w:p>
      <w:pPr>
        <w:numPr>
          <w:ilvl w:val="0"/>
          <w:numId w:val="1001"/>
        </w:numPr>
        <w:pStyle w:val="Compact"/>
      </w:pPr>
      <w:r>
        <w:t xml:space="preserve">Development and maintenance of comprehensive project plans, work breakdown structures, and critical path schedules aligned with Iranian national project delivery standards.</w:t>
      </w:r>
    </w:p>
    <w:p>
      <w:pPr>
        <w:numPr>
          <w:ilvl w:val="0"/>
          <w:numId w:val="1001"/>
        </w:numPr>
        <w:pStyle w:val="Compact"/>
      </w:pPr>
      <w:r>
        <w:t xml:space="preserve">Coordination with local government authorities, municipal offices in Tehran, and regulatory bodies to ensure full compliance with the Islamic Republic of Iran's construction and technology regulations.</w:t>
      </w:r>
    </w:p>
    <w:p>
      <w:pPr>
        <w:numPr>
          <w:ilvl w:val="0"/>
          <w:numId w:val="1001"/>
        </w:numPr>
        <w:pStyle w:val="Compact"/>
      </w:pPr>
      <w:r>
        <w:t xml:space="preserve">Management of cross-functional teams comprising Iranian and international specialists, with primary operations based in the Tehran metropolitan area.</w:t>
      </w:r>
    </w:p>
    <w:p>
      <w:pPr>
        <w:numPr>
          <w:ilvl w:val="0"/>
          <w:numId w:val="1001"/>
        </w:numPr>
        <w:pStyle w:val="Compact"/>
      </w:pPr>
      <w:r>
        <w:t xml:space="preserve">Budget oversight, cost control, and financial reporting in accordance with Iranian accounting standards and international best practices.</w:t>
      </w:r>
    </w:p>
    <w:p>
      <w:pPr>
        <w:numPr>
          <w:ilvl w:val="0"/>
          <w:numId w:val="1001"/>
        </w:numPr>
        <w:pStyle w:val="Compact"/>
      </w:pPr>
      <w:r>
        <w:t xml:space="preserve">Risk identification, mitigation planning, and stakeholder communication tailored to the business culture and operational norms of</w:t>
      </w:r>
      <w:r>
        <w:t xml:space="preserve"> </w:t>
      </w:r>
      <w:r>
        <w:t xml:space="preserve">Iran Tehran</w:t>
      </w:r>
      <w:r>
        <w:t xml:space="preserve">.</w:t>
      </w:r>
    </w:p>
    <w:p>
      <w:pPr>
        <w:numPr>
          <w:ilvl w:val="0"/>
          <w:numId w:val="1001"/>
        </w:numPr>
        <w:pStyle w:val="Compact"/>
      </w:pPr>
      <w:r>
        <w:t xml:space="preserve">Quality assurance and assurance processes, including site inspections at project locations throughout Tehran and its surrounding provinces.</w:t>
      </w:r>
    </w:p>
    <w:p>
      <w:pPr>
        <w:numPr>
          <w:ilvl w:val="0"/>
          <w:numId w:val="1001"/>
        </w:numPr>
        <w:pStyle w:val="Compact"/>
      </w:pPr>
      <w:r>
        <w:t xml:space="preserve">Vendor and subcontractor management, including negotiation of contracts under Iranian commercial law.</w:t>
      </w:r>
    </w:p>
    <w:p>
      <w:pPr>
        <w:numPr>
          <w:ilvl w:val="0"/>
          <w:numId w:val="1001"/>
        </w:numPr>
        <w:pStyle w:val="Compact"/>
      </w:pPr>
      <w:r>
        <w:t xml:space="preserve">Progress reporting to the client's executive board on a bi-weekly basis, with monthly consolidated reports.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Project Manager — Monthly Professional Fee (On-Site, Tehran)</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Project Initiation &amp; Planning Phase (Kick-off, SOW Development, Baseline Establishment)</w:t>
            </w:r>
          </w:p>
        </w:tc>
        <w:tc>
          <w:tcPr/>
          <w:p>
            <w:pPr>
              <w:pStyle w:val="Compact"/>
              <w:jc w:val="left"/>
            </w:pPr>
            <w:r>
              <w:t xml:space="preserve">1 Month</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03</w:t>
            </w:r>
          </w:p>
        </w:tc>
        <w:tc>
          <w:tcPr/>
          <w:p>
            <w:pPr>
              <w:pStyle w:val="Compact"/>
              <w:jc w:val="left"/>
            </w:pPr>
            <w:r>
              <w:t xml:space="preserve">Regulatory Compliance &amp; Permitting Support (Tehran Municipal &amp; National Authorities)</w:t>
            </w:r>
          </w:p>
        </w:tc>
        <w:tc>
          <w:tcPr/>
          <w:p>
            <w:pPr>
              <w:pStyle w:val="Compact"/>
              <w:jc w:val="left"/>
            </w:pPr>
            <w:r>
              <w:t xml:space="preserve">3 Months</w:t>
            </w:r>
          </w:p>
        </w:tc>
        <w:tc>
          <w:tcPr/>
          <w:p>
            <w:pPr>
              <w:pStyle w:val="Compact"/>
              <w:jc w:val="left"/>
            </w:pPr>
            <w:r>
              <w:t xml:space="preserve">$3,200</w:t>
            </w:r>
          </w:p>
        </w:tc>
        <w:tc>
          <w:tcPr/>
          <w:p>
            <w:pPr>
              <w:pStyle w:val="Compact"/>
              <w:jc w:val="left"/>
            </w:pPr>
            <w:r>
              <w:t xml:space="preserve">$9,600</w:t>
            </w:r>
          </w:p>
        </w:tc>
      </w:tr>
      <w:tr>
        <w:tc>
          <w:tcPr/>
          <w:p>
            <w:pPr>
              <w:pStyle w:val="Compact"/>
              <w:jc w:val="left"/>
            </w:pPr>
            <w:r>
              <w:t xml:space="preserve">04</w:t>
            </w:r>
          </w:p>
        </w:tc>
        <w:tc>
          <w:tcPr/>
          <w:p>
            <w:pPr>
              <w:pStyle w:val="Compact"/>
              <w:jc w:val="left"/>
            </w:pPr>
            <w:r>
              <w:t xml:space="preserve">Team Leadership &amp; Resource Coordination (Up to 25 Personnel)</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05</w:t>
            </w:r>
          </w:p>
        </w:tc>
        <w:tc>
          <w:tcPr/>
          <w:p>
            <w:pPr>
              <w:pStyle w:val="Compact"/>
              <w:jc w:val="left"/>
            </w:pPr>
            <w:r>
              <w:t xml:space="preserve">Stakeholder Management &amp; Client Reporting (Bi-weekly &amp; Monthly)</w:t>
            </w:r>
          </w:p>
        </w:tc>
        <w:tc>
          <w:tcPr/>
          <w:p>
            <w:pPr>
              <w:pStyle w:val="Compact"/>
              <w:jc w:val="left"/>
            </w:pPr>
            <w:r>
              <w:t xml:space="preserve">12 Months</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Risk Management &amp; Contingency Planning (Iran-Specific Risk Register)</w:t>
            </w:r>
          </w:p>
        </w:tc>
        <w:tc>
          <w:tcPr/>
          <w:p>
            <w:pPr>
              <w:pStyle w:val="Compact"/>
              <w:jc w:val="left"/>
            </w:pPr>
            <w:r>
              <w:t xml:space="preserve">12 Months</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07</w:t>
            </w:r>
          </w:p>
        </w:tc>
        <w:tc>
          <w:tcPr/>
          <w:p>
            <w:pPr>
              <w:pStyle w:val="Compact"/>
              <w:jc w:val="left"/>
            </w:pPr>
            <w:r>
              <w:t xml:space="preserve">Project Closure, Handover &amp; Lessons Learned Documentation</w:t>
            </w:r>
          </w:p>
        </w:tc>
        <w:tc>
          <w:tcPr/>
          <w:p>
            <w:pPr>
              <w:pStyle w:val="Compact"/>
              <w:jc w:val="left"/>
            </w:pPr>
            <w:r>
              <w:t xml:space="preserve">1 Month</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08</w:t>
            </w:r>
          </w:p>
        </w:tc>
        <w:tc>
          <w:tcPr/>
          <w:p>
            <w:pPr>
              <w:pStyle w:val="Compact"/>
              <w:jc w:val="left"/>
            </w:pPr>
            <w:r>
              <w:t xml:space="preserve">Travel &amp; Local Transportation within Tehran Metropolitan Area</w:t>
            </w:r>
          </w:p>
        </w:tc>
        <w:tc>
          <w:tcPr/>
          <w:p>
            <w:pPr>
              <w:pStyle w:val="Compact"/>
              <w:jc w:val="left"/>
            </w:pPr>
            <w:r>
              <w:t xml:space="preserve">12 Months</w:t>
            </w:r>
          </w:p>
        </w:tc>
        <w:tc>
          <w:tcPr/>
          <w:p>
            <w:pPr>
              <w:pStyle w:val="Compact"/>
              <w:jc w:val="left"/>
            </w:pPr>
            <w:r>
              <w:t xml:space="preserve">$800</w:t>
            </w:r>
          </w:p>
        </w:tc>
        <w:tc>
          <w:tcPr/>
          <w:p>
            <w:pPr>
              <w:pStyle w:val="Compact"/>
              <w:jc w:val="left"/>
            </w:pPr>
            <w:r>
              <w:t xml:space="preserve">$9,600</w:t>
            </w:r>
          </w:p>
        </w:tc>
      </w:tr>
      <w:tr>
        <w:tc>
          <w:tcPr/>
          <w:p>
            <w:pPr>
              <w:pStyle w:val="Compact"/>
              <w:jc w:val="left"/>
            </w:pPr>
            <w:r>
              <w:t xml:space="preserve">09</w:t>
            </w:r>
          </w:p>
        </w:tc>
        <w:tc>
          <w:tcPr/>
          <w:p>
            <w:pPr>
              <w:pStyle w:val="Compact"/>
              <w:jc w:val="left"/>
            </w:pPr>
            <w:r>
              <w:t xml:space="preserve">Software Licenses &amp; Project Management Tools (MS Project, Primavera, Jira)</w:t>
            </w:r>
          </w:p>
        </w:tc>
        <w:tc>
          <w:tcPr/>
          <w:p>
            <w:pPr>
              <w:pStyle w:val="Compact"/>
              <w:jc w:val="left"/>
            </w:pPr>
            <w:r>
              <w:t xml:space="preserve">12 Months</w:t>
            </w:r>
          </w:p>
        </w:tc>
        <w:tc>
          <w:tcPr/>
          <w:p>
            <w:pPr>
              <w:pStyle w:val="Compact"/>
              <w:jc w:val="left"/>
            </w:pPr>
            <w:r>
              <w:t xml:space="preserve">$1,100</w:t>
            </w:r>
          </w:p>
        </w:tc>
        <w:tc>
          <w:tcPr/>
          <w:p>
            <w:pPr>
              <w:pStyle w:val="Compact"/>
              <w:jc w:val="left"/>
            </w:pPr>
            <w:r>
              <w:t xml:space="preserve">$13,200</w:t>
            </w:r>
          </w:p>
        </w:tc>
      </w:tr>
      <w:tr>
        <w:tc>
          <w:tcPr/>
          <w:p>
            <w:pPr>
              <w:pStyle w:val="Compact"/>
              <w:jc w:val="left"/>
            </w:pPr>
            <w:r>
              <w:t xml:space="preserve">10</w:t>
            </w:r>
          </w:p>
        </w:tc>
        <w:tc>
          <w:tcPr/>
          <w:p>
            <w:pPr>
              <w:pStyle w:val="Compact"/>
              <w:jc w:val="left"/>
            </w:pPr>
            <w:r>
              <w:t xml:space="preserve">Administrative Overhead &amp; Office Support (Tehran Office Allocation)</w:t>
            </w:r>
          </w:p>
        </w:tc>
        <w:tc>
          <w:tcPr/>
          <w:p>
            <w:pPr>
              <w:pStyle w:val="Compact"/>
              <w:jc w:val="left"/>
            </w:pPr>
            <w:r>
              <w:t xml:space="preserve">12 Months</w:t>
            </w:r>
          </w:p>
        </w:tc>
        <w:tc>
          <w:tcPr/>
          <w:p>
            <w:pPr>
              <w:pStyle w:val="Compact"/>
              <w:jc w:val="left"/>
            </w:pPr>
            <w:r>
              <w:t xml:space="preserve">$950</w:t>
            </w:r>
          </w:p>
        </w:tc>
        <w:tc>
          <w:tcPr/>
          <w:p>
            <w:pPr>
              <w:pStyle w:val="Compact"/>
              <w:jc w:val="left"/>
            </w:pPr>
            <w:r>
              <w:t xml:space="preserve">$11,400</w:t>
            </w:r>
          </w:p>
        </w:tc>
      </w:tr>
      <w:tr>
        <w:tc>
          <w:tcPr>
            <w:gridSpan w:val="4"/>
          </w:tcPr>
          <w:p>
            <w:pPr>
              <w:pStyle w:val="Compact"/>
              <w:jc w:val="left"/>
            </w:pPr>
            <w:r>
              <w:t xml:space="preserve">Subtotal</w:t>
            </w:r>
          </w:p>
        </w:tc>
        <w:tc>
          <w:tcPr/>
          <w:p>
            <w:pPr>
              <w:pStyle w:val="Compact"/>
              <w:jc w:val="left"/>
            </w:pPr>
            <w:r>
              <w:t xml:space="preserve">$222,300</w:t>
            </w:r>
          </w:p>
        </w:tc>
      </w:tr>
      <w:tr>
        <w:tc>
          <w:tcPr>
            <w:gridSpan w:val="4"/>
          </w:tcPr>
          <w:p>
            <w:pPr>
              <w:pStyle w:val="Compact"/>
              <w:jc w:val="left"/>
            </w:pPr>
            <w:r>
              <w:t xml:space="preserve">Applicable Taxes &amp; Iranian Regulatory Levies (8%)</w:t>
            </w:r>
          </w:p>
        </w:tc>
        <w:tc>
          <w:tcPr/>
          <w:p>
            <w:pPr>
              <w:pStyle w:val="Compact"/>
              <w:jc w:val="left"/>
            </w:pPr>
            <w:r>
              <w:t xml:space="preserve">$17,784</w:t>
            </w:r>
          </w:p>
        </w:tc>
      </w:tr>
      <w:tr>
        <w:tc>
          <w:tcPr>
            <w:gridSpan w:val="4"/>
          </w:tcPr>
          <w:p>
            <w:pPr>
              <w:pStyle w:val="Compact"/>
              <w:jc w:val="left"/>
            </w:pPr>
            <w:r>
              <w:rPr>
                <w:bCs/>
                <w:b/>
              </w:rPr>
              <w:t xml:space="preserve">Grand Total (Quotation Estimate)</w:t>
            </w:r>
          </w:p>
        </w:tc>
        <w:tc>
          <w:tcPr/>
          <w:p>
            <w:pPr>
              <w:pStyle w:val="Compact"/>
              <w:jc w:val="left"/>
            </w:pPr>
            <w:r>
              <w:rPr>
                <w:bCs/>
                <w:b/>
              </w:rPr>
              <w:t xml:space="preserve">$240,084</w:t>
            </w:r>
          </w:p>
        </w:tc>
      </w:tr>
    </w:tbl>
    <w:p>
      <w:pPr>
        <w:pStyle w:val="BodyText"/>
      </w:pPr>
      <w:r>
        <w:rPr>
          <w:bCs/>
          <w:b/>
        </w:rPr>
        <w:t xml:space="preserve">Note:</w:t>
      </w:r>
      <w:r>
        <w:t xml:space="preserve"> </w:t>
      </w:r>
      <w:r>
        <w:t xml:space="preserve">All monetary values in this</w:t>
      </w:r>
      <w:r>
        <w:t xml:space="preserve"> </w:t>
      </w:r>
      <w:r>
        <w:t xml:space="preserve">Quotation Estimate</w:t>
      </w:r>
      <w:r>
        <w:t xml:space="preserve"> </w:t>
      </w:r>
      <w:r>
        <w:t xml:space="preserve">are denominated in US Dollars (USD). Payment in Iranian Rial (IRR) may be arranged at the Central Bank of Iran's published exchange rate on the date of each invoice. The</w:t>
      </w:r>
      <w:r>
        <w:t xml:space="preserve"> </w:t>
      </w:r>
      <w:r>
        <w:t xml:space="preserve">Project Manager</w:t>
      </w:r>
      <w:r>
        <w:t xml:space="preserve"> </w:t>
      </w:r>
      <w:r>
        <w:t xml:space="preserve">engagement is subject to the labor and immigration regulations applicable in</w:t>
      </w:r>
      <w:r>
        <w:t xml:space="preserve"> </w:t>
      </w:r>
      <w:r>
        <w:t xml:space="preserve">Iran Tehran</w:t>
      </w:r>
      <w:r>
        <w:t xml:space="preserve">. Any changes to scope beyond 10% of the original estimate will require a formal amendment to this document.</w:t>
      </w:r>
    </w:p>
    <w:bookmarkEnd w:id="23"/>
    <w:bookmarkStart w:id="24" w:name="payment-schedule"/>
    <w:p>
      <w:pPr>
        <w:pStyle w:val="Heading2"/>
      </w:pPr>
      <w:r>
        <w:t xml:space="preserve">4. Payment Schedule</w:t>
      </w:r>
    </w:p>
    <w:p>
      <w:pPr>
        <w:pStyle w:val="FirstParagraph"/>
      </w:pPr>
      <w:r>
        <w:t xml:space="preserve">Payment for the</w:t>
      </w:r>
      <w:r>
        <w:t xml:space="preserve"> </w:t>
      </w:r>
      <w:r>
        <w:t xml:space="preserve">Project Manager</w:t>
      </w:r>
      <w:r>
        <w:t xml:space="preserve"> </w:t>
      </w:r>
      <w:r>
        <w:t xml:space="preserve">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Advance Payment (20%):</w:t>
      </w:r>
      <w:r>
        <w:t xml:space="preserve"> </w:t>
      </w:r>
      <w:r>
        <w:t xml:space="preserve">$48,016.80 — Due upon signed acceptance of this Quotation Estimate and execution of the master services agreement.</w:t>
      </w:r>
    </w:p>
    <w:p>
      <w:pPr>
        <w:numPr>
          <w:ilvl w:val="0"/>
          <w:numId w:val="1002"/>
        </w:numPr>
        <w:pStyle w:val="Compact"/>
      </w:pPr>
      <w:r>
        <w:rPr>
          <w:bCs/>
          <w:b/>
        </w:rPr>
        <w:t xml:space="preserve">Monthly Installments (70%):</w:t>
      </w:r>
      <w:r>
        <w:t xml:space="preserve"> </w:t>
      </w:r>
      <w:r>
        <w:t xml:space="preserve">$16,805.88 per month — Payable within 15 business days of the end of each calendar month, commencing from the second month of the engagement.</w:t>
      </w:r>
    </w:p>
    <w:p>
      <w:pPr>
        <w:numPr>
          <w:ilvl w:val="0"/>
          <w:numId w:val="1002"/>
        </w:numPr>
        <w:pStyle w:val="Compact"/>
      </w:pPr>
      <w:r>
        <w:rPr>
          <w:bCs/>
          <w:b/>
        </w:rPr>
        <w:t xml:space="preserve">Final Settlement (10%):</w:t>
      </w:r>
      <w:r>
        <w:t xml:space="preserve"> </w:t>
      </w:r>
      <w:r>
        <w:t xml:space="preserve">$24,008.40 — Payable upon successful project closure, handover, and delivery of all documentation within 30 days of project completion.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Iran Tehran</w:t>
      </w:r>
      <w:r>
        <w:t xml:space="preserve">.</w:t>
      </w:r>
    </w:p>
    <w:p>
      <w:pPr>
        <w:pStyle w:val="BodyText"/>
      </w:pPr>
      <w:r>
        <w:rPr>
          <w:bCs/>
          <w:b/>
        </w:rPr>
        <w:t xml:space="preserve">5.2</w:t>
      </w:r>
      <w:r>
        <w:t xml:space="preserve"> </w:t>
      </w:r>
      <w:r>
        <w:t xml:space="preserve">The</w:t>
      </w:r>
      <w:r>
        <w:t xml:space="preserve"> </w:t>
      </w:r>
      <w:r>
        <w:t xml:space="preserve">Project Manager</w:t>
      </w:r>
      <w:r>
        <w:t xml:space="preserve"> </w:t>
      </w:r>
      <w:r>
        <w:t xml:space="preserve">shall devote a minimum of 45 hours per week to the client's project, with primary work location at the client's designated site in Tehran, Iran.</w:t>
      </w:r>
    </w:p>
    <w:p>
      <w:pPr>
        <w:pStyle w:val="BodyText"/>
      </w:pPr>
      <w:r>
        <w:rPr>
          <w:bCs/>
          <w:b/>
        </w:rPr>
        <w:t xml:space="preserve">5.3</w:t>
      </w:r>
      <w:r>
        <w:t xml:space="preserve"> </w:t>
      </w:r>
      <w:r>
        <w:t xml:space="preserve">Either party may terminate the engagement with thirty (30) days' written notice. In the event of early termination, the client shall be liable for all fees accrued up to the termination date plus a 10% administrative surcharge.</w:t>
      </w:r>
    </w:p>
    <w:p>
      <w:pPr>
        <w:pStyle w:val="BodyText"/>
      </w:pPr>
      <w:r>
        <w:rPr>
          <w:bCs/>
          <w:b/>
        </w:rPr>
        <w:t xml:space="preserve">5.4</w:t>
      </w:r>
      <w:r>
        <w:t xml:space="preserve"> </w:t>
      </w:r>
      <w:r>
        <w:t xml:space="preserve">All intellectual property, project documentation, and deliverables produced by the</w:t>
      </w:r>
      <w:r>
        <w:t xml:space="preserve"> </w:t>
      </w:r>
      <w:r>
        <w:t xml:space="preserve">Project Manager</w:t>
      </w:r>
      <w:r>
        <w:t xml:space="preserve"> </w:t>
      </w:r>
      <w:r>
        <w:t xml:space="preserve">during the engagement shall become the exclusive property of the client upon full payment.</w:t>
      </w:r>
    </w:p>
    <w:p>
      <w:pPr>
        <w:pStyle w:val="BodyText"/>
      </w:pPr>
      <w:r>
        <w:rPr>
          <w:bCs/>
          <w:b/>
        </w:rPr>
        <w:t xml:space="preserve">5.5</w:t>
      </w:r>
      <w:r>
        <w:t xml:space="preserve"> </w:t>
      </w:r>
      <w:r>
        <w:t xml:space="preserve">This agreement shall be governed by and construed in accordance with the commercial laws of the Islamic Republic of Iran. Any disputes shall be resolved through arbitration in Tehran under the rules of the Iran Arbitration Center.</w:t>
      </w:r>
    </w:p>
    <w:p>
      <w:pPr>
        <w:pStyle w:val="BodyText"/>
      </w:pPr>
      <w:r>
        <w:rPr>
          <w:bCs/>
          <w:b/>
        </w:rPr>
        <w:t xml:space="preserve">5.6</w:t>
      </w:r>
      <w:r>
        <w:t xml:space="preserve"> </w:t>
      </w:r>
      <w:r>
        <w:t xml:space="preserve">The</w:t>
      </w:r>
      <w:r>
        <w:t xml:space="preserve"> </w:t>
      </w:r>
      <w:r>
        <w:t xml:space="preserve">Project Manager</w:t>
      </w:r>
      <w:r>
        <w:t xml:space="preserve"> </w:t>
      </w:r>
      <w:r>
        <w:t xml:space="preserve">shall maintain professional indemnity insurance with a minimum coverage of $500,000, valid throughout the duration of the engagement in</w:t>
      </w:r>
      <w:r>
        <w:t xml:space="preserve"> </w:t>
      </w:r>
      <w:r>
        <w:t xml:space="preserve">Iran Tehran</w:t>
      </w:r>
      <w:r>
        <w:t xml:space="preserve">.</w:t>
      </w:r>
    </w:p>
    <w:p>
      <w:pPr>
        <w:pStyle w:val="BodyText"/>
      </w:pPr>
      <w:r>
        <w:rPr>
          <w:bCs/>
          <w:b/>
        </w:rPr>
        <w:t xml:space="preserve">5.7</w:t>
      </w:r>
      <w:r>
        <w:t xml:space="preserve"> </w:t>
      </w:r>
      <w:r>
        <w:t xml:space="preserve">Confidentiality obligations shall survive the termination of this engagement for a period of three (3) years.</w:t>
      </w:r>
    </w:p>
    <w:bookmarkEnd w:id="25"/>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for the engagement of the</w:t>
      </w:r>
      <w:r>
        <w:t xml:space="preserve"> </w:t>
      </w:r>
      <w:r>
        <w:t xml:space="preserve">Project Manager</w:t>
      </w:r>
      <w:r>
        <w:t xml:space="preserve"> </w:t>
      </w:r>
      <w:r>
        <w:t xml:space="preserve">in</w:t>
      </w:r>
      <w:r>
        <w:t xml:space="preserve"> </w:t>
      </w:r>
      <w:r>
        <w:t xml:space="preserve">Iran Tehran</w:t>
      </w:r>
      <w:r>
        <w:t xml:space="preserve"> </w:t>
      </w:r>
      <w:r>
        <w:t xml:space="preserve">as described herein.</w:t>
      </w:r>
    </w:p>
    <w:bookmarkStart w:id="26" w:name="for-meridian-consulting-group-provider"/>
    <w:p>
      <w:pPr>
        <w:pStyle w:val="Heading3"/>
      </w:pPr>
      <w:r>
        <w:t xml:space="preserve">For Meridian Consulting Group (Provider)</w:t>
      </w:r>
    </w:p>
    <w:p>
      <w:pPr>
        <w:pStyle w:val="FirstParagraph"/>
      </w:pPr>
      <w:r>
        <w:t xml:space="preserve">Name: _________________________</w:t>
      </w:r>
    </w:p>
    <w:p>
      <w:pPr>
        <w:pStyle w:val="BodyText"/>
      </w:pPr>
      <w:r>
        <w:t xml:space="preserve">Title: Director, Project Services</w:t>
      </w:r>
    </w:p>
    <w:p>
      <w:pPr>
        <w:pStyle w:val="BodyText"/>
      </w:pPr>
      <w:r>
        <w:t xml:space="preserve">Signature: _________________________</w:t>
      </w:r>
    </w:p>
    <w:p>
      <w:pPr>
        <w:pStyle w:val="BodyText"/>
      </w:pPr>
      <w:r>
        <w:t xml:space="preserve">Date: _________________________</w:t>
      </w:r>
    </w:p>
    <w:p>
      <w:pPr>
        <w:pStyle w:val="BodyText"/>
      </w:pPr>
      <w:r>
        <w:t xml:space="preserve">Authorized Signatory — Tehran, Iran</w:t>
      </w:r>
    </w:p>
    <w:bookmarkEnd w:id="26"/>
    <w:bookmarkStart w:id="27" w:name="for-client-organization-client"/>
    <w:p>
      <w:pPr>
        <w:pStyle w:val="Heading3"/>
      </w:pPr>
      <w:r>
        <w:t xml:space="preserve">For [Client Organization] (Client)</w:t>
      </w:r>
    </w:p>
    <w:p>
      <w:pPr>
        <w:pStyle w:val="FirstParagraph"/>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Authorized Signatory — Tehran, Iran</w:t>
      </w:r>
    </w:p>
    <w:bookmarkEnd w:id="27"/>
    <w:p>
      <w:pPr>
        <w:pStyle w:val="BodyText"/>
      </w:pPr>
      <w:r>
        <w:t xml:space="preserve">Meridian Consulting Group — Office 12, 4th Floor, Kowsar Building, Valiasr Street, Tehran, Islamic Republic of Iran</w:t>
      </w:r>
    </w:p>
    <w:p>
      <w:pPr>
        <w:pStyle w:val="BodyText"/>
      </w:pPr>
      <w:r>
        <w:t xml:space="preserve">Tel: +98-21-XXXX-XXXX | Email: projects@meridian-consulting.ir | Registration No: IR-TEH-2019-004521</w:t>
      </w:r>
    </w:p>
    <w:p>
      <w:pPr>
        <w:pStyle w:val="BodyText"/>
      </w:pPr>
      <w:r>
        <w:t xml:space="preserve">This Quotation Estimate is a commercial document and does not constitute a binding contract until countersigned by both parties. © 2025 Meridian Consulting Group.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Iran Tehran</dc:title>
  <dc:creator/>
  <dc:language>en</dc:language>
  <cp:keywords/>
  <dcterms:created xsi:type="dcterms:W3CDTF">2026-10-10T03:56:21Z</dcterms:created>
  <dcterms:modified xsi:type="dcterms:W3CDTF">2026-10-10T03:56:21Z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