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meridian-project-solutions-ltd."/>
    <w:p>
      <w:pPr>
        <w:pStyle w:val="Heading1"/>
      </w:pPr>
      <w:r>
        <w:t xml:space="preserve">Meridian Project Solutions Ltd.</w:t>
      </w:r>
    </w:p>
    <w:p>
      <w:pPr>
        <w:pStyle w:val="FirstParagraph"/>
      </w:pPr>
      <w:r>
        <w:t xml:space="preserve">12 King George Street, Jerusalem 91000, Israel</w:t>
      </w:r>
    </w:p>
    <w:p>
      <w:pPr>
        <w:pStyle w:val="BodyText"/>
      </w:pPr>
      <w:r>
        <w:t xml:space="preserve">Tel: +972-2-555-0147 | Email: quotes@meridianps.co.il | VAT: 51-800-234-567</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QTE-2025-JER-0487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 of Work:</w:t>
      </w:r>
      <w:r>
        <w:t xml:space="preserve"> </w:t>
      </w:r>
      <w:r>
        <w:t xml:space="preserve">Israel Jerusalem</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[Client Address], Israel Jerusalem</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[client@email.com]</w:t>
      </w:r>
    </w:p>
    <w:bookmarkEnd w:id="22"/>
    <w:p>
      <w:pPr>
        <w:pStyle w:val="BodyText"/>
      </w:pPr>
      <w:r>
        <w:t xml:space="preserve">Dear Valued Client,</w:t>
      </w:r>
    </w:p>
    <w:p>
      <w:pPr>
        <w:pStyle w:val="BodyText"/>
      </w:pPr>
      <w:r>
        <w:t xml:space="preserve">Thank you for considering Meridian Project Solutions Ltd. for your upcoming engagement. This</w:t>
      </w:r>
      <w:r>
        <w:t xml:space="preserve"> </w:t>
      </w:r>
      <w:r>
        <w:t xml:space="preserve">Quotation Estimate</w:t>
      </w:r>
      <w:r>
        <w:t xml:space="preserve"> </w:t>
      </w:r>
      <w:r>
        <w:t xml:space="preserve">outlines the professional services of a dedicated</w:t>
      </w:r>
      <w:r>
        <w:t xml:space="preserve"> </w:t>
      </w:r>
      <w:r>
        <w:t xml:space="preserve">Project Manager</w:t>
      </w:r>
      <w:r>
        <w:t xml:space="preserve"> </w:t>
      </w:r>
      <w:r>
        <w:t xml:space="preserve">to be deployed and fully operational within</w:t>
      </w:r>
      <w:r>
        <w:t xml:space="preserve"> </w:t>
      </w:r>
      <w:r>
        <w:t xml:space="preserve">Israel Jerusalem</w:t>
      </w:r>
      <w:r>
        <w:t xml:space="preserve">. We are committed to delivering exceptional project leadership tailored to the unique regulatory, cultural, and operational environment of the Jerusalem region. The following document provides a comprehensive breakdown of costs, deliverables, and terms governing this engagement.</w:t>
      </w:r>
    </w:p>
    <w:p>
      <w:pPr>
        <w:pStyle w:val="BodyText"/>
      </w:pPr>
      <w:r>
        <w:t xml:space="preserve">Scope of Services – Project Manager Engagement</w:t>
      </w:r>
    </w:p>
    <w:p>
      <w:pPr>
        <w:pStyle w:val="BodyText"/>
      </w:pPr>
      <w:r>
        <w:t xml:space="preserve">The</w:t>
      </w:r>
      <w:r>
        <w:t xml:space="preserve"> </w:t>
      </w:r>
      <w:r>
        <w:t xml:space="preserve">Project Manager</w:t>
      </w:r>
      <w:r>
        <w:t xml:space="preserve"> </w:t>
      </w:r>
      <w:r>
        <w:t xml:space="preserve">assigned under this</w:t>
      </w:r>
      <w:r>
        <w:t xml:space="preserve"> </w:t>
      </w:r>
      <w:r>
        <w:t xml:space="preserve">Quotation Estimate</w:t>
      </w:r>
      <w:r>
        <w:t xml:space="preserve"> </w:t>
      </w:r>
      <w:r>
        <w:t xml:space="preserve">will be responsible for the full lifecycle management of your project while physically based in</w:t>
      </w:r>
      <w:r>
        <w:t xml:space="preserve"> </w:t>
      </w:r>
      <w:r>
        <w:t xml:space="preserve">Israel Jerusalem</w:t>
      </w:r>
      <w:r>
        <w:t xml:space="preserve">. The scope includes, but is not limited to, the following responsibilities:</w:t>
      </w:r>
    </w:p>
    <w:p>
      <w:pPr>
        <w:numPr>
          <w:ilvl w:val="0"/>
          <w:numId w:val="1001"/>
        </w:numPr>
        <w:pStyle w:val="Compact"/>
      </w:pPr>
      <w:r>
        <w:t xml:space="preserve">Development and maintenance of the master project plan, work breakdown structure (WBS), and critical path schedule.</w:t>
      </w:r>
    </w:p>
    <w:p>
      <w:pPr>
        <w:numPr>
          <w:ilvl w:val="0"/>
          <w:numId w:val="1001"/>
        </w:numPr>
        <w:pStyle w:val="Compact"/>
      </w:pPr>
      <w:r>
        <w:t xml:space="preserve">Coordination with all stakeholders, subcontractors, and regulatory bodies operating within the</w:t>
      </w:r>
      <w:r>
        <w:t xml:space="preserve"> </w:t>
      </w:r>
      <w:r>
        <w:t xml:space="preserve">Israel Jerusalem</w:t>
      </w:r>
      <w:r>
        <w:t xml:space="preserve"> </w:t>
      </w:r>
      <w:r>
        <w:t xml:space="preserve">jurisdiction.</w:t>
      </w:r>
    </w:p>
    <w:p>
      <w:pPr>
        <w:numPr>
          <w:ilvl w:val="0"/>
          <w:numId w:val="1001"/>
        </w:numPr>
        <w:pStyle w:val="Compact"/>
      </w:pPr>
      <w:r>
        <w:t xml:space="preserve">Resource allocation, budget monitoring, and cost-control reporting on a weekly basis.</w:t>
      </w:r>
    </w:p>
    <w:p>
      <w:pPr>
        <w:numPr>
          <w:ilvl w:val="0"/>
          <w:numId w:val="1001"/>
        </w:numPr>
        <w:pStyle w:val="Compact"/>
      </w:pPr>
      <w:r>
        <w:t xml:space="preserve">Risk identification, mitigation planning, and escalation management in accordance with Israeli project governance standards.</w:t>
      </w:r>
    </w:p>
    <w:p>
      <w:pPr>
        <w:numPr>
          <w:ilvl w:val="0"/>
          <w:numId w:val="1001"/>
        </w:numPr>
        <w:pStyle w:val="Compact"/>
      </w:pPr>
      <w:r>
        <w:t xml:space="preserve">Quality assurance oversight and compliance with relevant Israeli building, safety, and industry regulations applicable in</w:t>
      </w:r>
      <w:r>
        <w:t xml:space="preserve"> </w:t>
      </w:r>
      <w:r>
        <w:t xml:space="preserve">Israel Jerusalem</w:t>
      </w:r>
      <w:r>
        <w:t xml:space="preserve">.</w:t>
      </w:r>
    </w:p>
    <w:p>
      <w:pPr>
        <w:numPr>
          <w:ilvl w:val="0"/>
          <w:numId w:val="1001"/>
        </w:numPr>
        <w:pStyle w:val="Compact"/>
      </w:pPr>
      <w:r>
        <w:t xml:space="preserve">Preparation of progress reports, change-order documentation, and final project closeout deliverables.</w:t>
      </w:r>
    </w:p>
    <w:p>
      <w:pPr>
        <w:numPr>
          <w:ilvl w:val="0"/>
          <w:numId w:val="1001"/>
        </w:numPr>
        <w:pStyle w:val="Compact"/>
      </w:pPr>
      <w:r>
        <w:t xml:space="preserve">Liaison with municipal authorities, the Jerusalem Development Authority, and any applicable governmental agencies.</w:t>
      </w:r>
    </w:p>
    <w:p>
      <w:pPr>
        <w:pStyle w:val="FirstParagraph"/>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(ILS)</w:t>
            </w:r>
          </w:p>
        </w:tc>
        <w:tc>
          <w:tcPr/>
          <w:p>
            <w:pPr>
              <w:pStyle w:val="Compact"/>
              <w:jc w:val="left"/>
            </w:pPr>
            <w:r>
              <w:t xml:space="preserve">Amount (ILS)</w:t>
            </w:r>
          </w:p>
        </w:tc>
      </w:tr>
      <w:tr>
        <w:tc>
          <w:tcPr/>
          <w:p>
            <w:pPr>
              <w:pStyle w:val="Compact"/>
              <w:jc w:val="left"/>
            </w:pPr>
            <w:r>
              <w:t xml:space="preserve">1</w:t>
            </w:r>
          </w:p>
        </w:tc>
        <w:tc>
          <w:tcPr/>
          <w:p>
            <w:pPr>
              <w:pStyle w:val="Compact"/>
              <w:jc w:val="left"/>
            </w:pPr>
            <w:r>
              <w:t xml:space="preserve">Senior Project Manager – Full-time on-site engagement in Israel Jerusalem (Monday to Friday, 8:00–17:00)</w:t>
            </w:r>
          </w:p>
        </w:tc>
        <w:tc>
          <w:tcPr/>
          <w:p>
            <w:pPr>
              <w:pStyle w:val="Compact"/>
              <w:jc w:val="left"/>
            </w:pPr>
            <w:r>
              <w:t xml:space="preserve">12 months</w:t>
            </w:r>
          </w:p>
        </w:tc>
        <w:tc>
          <w:tcPr/>
          <w:p>
            <w:pPr>
              <w:pStyle w:val="Compact"/>
              <w:jc w:val="left"/>
            </w:pPr>
            <w:r>
              <w:t xml:space="preserve">18,500 / month</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Project initiation and planning phase (kick-off, stakeholder mapping, baseline schedule)</w:t>
            </w:r>
          </w:p>
        </w:tc>
        <w:tc>
          <w:tcPr/>
          <w:p>
            <w:pPr>
              <w:pStyle w:val="Compact"/>
              <w:jc w:val="left"/>
            </w:pPr>
            <w:r>
              <w:t xml:space="preserve">4 weeks</w:t>
            </w:r>
          </w:p>
        </w:tc>
        <w:tc>
          <w:tcPr/>
          <w:p>
            <w:pPr>
              <w:pStyle w:val="Compact"/>
              <w:jc w:val="left"/>
            </w:pPr>
            <w:r>
              <w:t xml:space="preserve">Flat fee</w:t>
            </w:r>
          </w:p>
        </w:tc>
        <w:tc>
          <w:tcPr/>
          <w:p>
            <w:pPr>
              <w:pStyle w:val="Compact"/>
              <w:jc w:val="left"/>
            </w:pPr>
            <w:r>
              <w:t xml:space="preserve">35,000.00</w:t>
            </w:r>
          </w:p>
        </w:tc>
      </w:tr>
      <w:tr>
        <w:tc>
          <w:tcPr/>
          <w:p>
            <w:pPr>
              <w:pStyle w:val="Compact"/>
              <w:jc w:val="left"/>
            </w:pPr>
            <w:r>
              <w:t xml:space="preserve">3</w:t>
            </w:r>
          </w:p>
        </w:tc>
        <w:tc>
          <w:tcPr/>
          <w:p>
            <w:pPr>
              <w:pStyle w:val="Compact"/>
              <w:jc w:val="left"/>
            </w:pPr>
            <w:r>
              <w:t xml:space="preserve">Weekly progress reporting and monthly executive summary preparation</w:t>
            </w:r>
          </w:p>
        </w:tc>
        <w:tc>
          <w:tcPr/>
          <w:p>
            <w:pPr>
              <w:pStyle w:val="Compact"/>
              <w:jc w:val="left"/>
            </w:pPr>
            <w:r>
              <w:t xml:space="preserve">12 months</w:t>
            </w:r>
          </w:p>
        </w:tc>
        <w:tc>
          <w:tcPr/>
          <w:p>
            <w:pPr>
              <w:pStyle w:val="Compact"/>
              <w:jc w:val="left"/>
            </w:pPr>
            <w:r>
              <w:t xml:space="preserve">2,200 / month</w:t>
            </w:r>
          </w:p>
        </w:tc>
        <w:tc>
          <w:tcPr/>
          <w:p>
            <w:pPr>
              <w:pStyle w:val="Compact"/>
              <w:jc w:val="left"/>
            </w:pPr>
            <w:r>
              <w:t xml:space="preserve">26,400.00</w:t>
            </w:r>
          </w:p>
        </w:tc>
      </w:tr>
      <w:tr>
        <w:tc>
          <w:tcPr/>
          <w:p>
            <w:pPr>
              <w:pStyle w:val="Compact"/>
              <w:jc w:val="left"/>
            </w:pPr>
            <w:r>
              <w:t xml:space="preserve">4</w:t>
            </w:r>
          </w:p>
        </w:tc>
        <w:tc>
          <w:tcPr/>
          <w:p>
            <w:pPr>
              <w:pStyle w:val="Compact"/>
              <w:jc w:val="left"/>
            </w:pPr>
            <w:r>
              <w:t xml:space="preserve">Risk register maintenance and quarterly risk review workshops</w:t>
            </w:r>
          </w:p>
        </w:tc>
        <w:tc>
          <w:tcPr/>
          <w:p>
            <w:pPr>
              <w:pStyle w:val="Compact"/>
              <w:jc w:val="left"/>
            </w:pPr>
            <w:r>
              <w:t xml:space="preserve">12 months</w:t>
            </w:r>
          </w:p>
        </w:tc>
        <w:tc>
          <w:tcPr/>
          <w:p>
            <w:pPr>
              <w:pStyle w:val="Compact"/>
              <w:jc w:val="left"/>
            </w:pPr>
            <w:r>
              <w:t xml:space="preserve">1,800 / month</w:t>
            </w:r>
          </w:p>
        </w:tc>
        <w:tc>
          <w:tcPr/>
          <w:p>
            <w:pPr>
              <w:pStyle w:val="Compact"/>
              <w:jc w:val="left"/>
            </w:pPr>
            <w:r>
              <w:t xml:space="preserve">21,600.00</w:t>
            </w:r>
          </w:p>
        </w:tc>
      </w:tr>
      <w:tr>
        <w:tc>
          <w:tcPr/>
          <w:p>
            <w:pPr>
              <w:pStyle w:val="Compact"/>
              <w:jc w:val="left"/>
            </w:pPr>
            <w:r>
              <w:t xml:space="preserve">5</w:t>
            </w:r>
          </w:p>
        </w:tc>
        <w:tc>
          <w:tcPr/>
          <w:p>
            <w:pPr>
              <w:pStyle w:val="Compact"/>
              <w:jc w:val="left"/>
            </w:pPr>
            <w:r>
              <w:t xml:space="preserve">Regulatory compliance coordination with Jerusalem municipal and national authorities</w:t>
            </w:r>
          </w:p>
        </w:tc>
        <w:tc>
          <w:tcPr/>
          <w:p>
            <w:pPr>
              <w:pStyle w:val="Compact"/>
              <w:jc w:val="left"/>
            </w:pPr>
            <w:r>
              <w:t xml:space="preserve">12 months</w:t>
            </w:r>
          </w:p>
        </w:tc>
        <w:tc>
          <w:tcPr/>
          <w:p>
            <w:pPr>
              <w:pStyle w:val="Compact"/>
              <w:jc w:val="left"/>
            </w:pPr>
            <w:r>
              <w:t xml:space="preserve">1,500 / month</w:t>
            </w:r>
          </w:p>
        </w:tc>
        <w:tc>
          <w:tcPr/>
          <w:p>
            <w:pPr>
              <w:pStyle w:val="Compact"/>
              <w:jc w:val="left"/>
            </w:pPr>
            <w:r>
              <w:t xml:space="preserve">18,000.00</w:t>
            </w:r>
          </w:p>
        </w:tc>
      </w:tr>
      <w:tr>
        <w:tc>
          <w:tcPr/>
          <w:p>
            <w:pPr>
              <w:pStyle w:val="Compact"/>
              <w:jc w:val="left"/>
            </w:pPr>
            <w:r>
              <w:t xml:space="preserve">6</w:t>
            </w:r>
          </w:p>
        </w:tc>
        <w:tc>
          <w:tcPr/>
          <w:p>
            <w:pPr>
              <w:pStyle w:val="Compact"/>
              <w:jc w:val="left"/>
            </w:pPr>
            <w:r>
              <w:t xml:space="preserve">Project closeout, documentation handover, and lessons-learned report</w:t>
            </w:r>
          </w:p>
        </w:tc>
        <w:tc>
          <w:tcPr/>
          <w:p>
            <w:pPr>
              <w:pStyle w:val="Compact"/>
              <w:jc w:val="left"/>
            </w:pPr>
            <w:r>
              <w:t xml:space="preserve">3 weeks</w:t>
            </w:r>
          </w:p>
        </w:tc>
        <w:tc>
          <w:tcPr/>
          <w:p>
            <w:pPr>
              <w:pStyle w:val="Compact"/>
              <w:jc w:val="left"/>
            </w:pPr>
            <w:r>
              <w:t xml:space="preserve">Flat fee</w:t>
            </w:r>
          </w:p>
        </w:tc>
        <w:tc>
          <w:tcPr/>
          <w:p>
            <w:pPr>
              <w:pStyle w:val="Compact"/>
              <w:jc w:val="left"/>
            </w:pPr>
            <w:r>
              <w:t xml:space="preserve">22,000.00</w:t>
            </w:r>
          </w:p>
        </w:tc>
      </w:tr>
      <w:tr>
        <w:tc>
          <w:tcPr/>
          <w:p>
            <w:pPr>
              <w:pStyle w:val="Compact"/>
              <w:jc w:val="left"/>
            </w:pPr>
            <w:r>
              <w:t xml:space="preserve">7</w:t>
            </w:r>
          </w:p>
        </w:tc>
        <w:tc>
          <w:tcPr/>
          <w:p>
            <w:pPr>
              <w:pStyle w:val="Compact"/>
              <w:jc w:val="left"/>
            </w:pPr>
            <w:r>
              <w:t xml:space="preserve">Travel and local transportation within Israel Jerusalem and surrounding districts</w:t>
            </w:r>
          </w:p>
        </w:tc>
        <w:tc>
          <w:tcPr/>
          <w:p>
            <w:pPr>
              <w:pStyle w:val="Compact"/>
              <w:jc w:val="left"/>
            </w:pPr>
            <w:r>
              <w:t xml:space="preserve">12 months</w:t>
            </w:r>
          </w:p>
        </w:tc>
        <w:tc>
          <w:tcPr/>
          <w:p>
            <w:pPr>
              <w:pStyle w:val="Compact"/>
              <w:jc w:val="left"/>
            </w:pPr>
            <w:r>
              <w:t xml:space="preserve">800 / month</w:t>
            </w:r>
          </w:p>
        </w:tc>
        <w:tc>
          <w:tcPr/>
          <w:p>
            <w:pPr>
              <w:pStyle w:val="Compact"/>
              <w:jc w:val="left"/>
            </w:pPr>
            <w:r>
              <w:t xml:space="preserve">9,600.00</w:t>
            </w:r>
          </w:p>
        </w:tc>
      </w:tr>
      <w:tr>
        <w:tc>
          <w:tcPr/>
          <w:p>
            <w:pPr>
              <w:pStyle w:val="Compact"/>
              <w:jc w:val="left"/>
            </w:pPr>
            <w:r>
              <w:t xml:space="preserve">8</w:t>
            </w:r>
          </w:p>
        </w:tc>
        <w:tc>
          <w:tcPr/>
          <w:p>
            <w:pPr>
              <w:pStyle w:val="Compact"/>
              <w:jc w:val="left"/>
            </w:pPr>
            <w:r>
              <w:t xml:space="preserve">Project management software licensing (MS Project, Primavera P6, Asana) – annual subscription</w:t>
            </w:r>
          </w:p>
        </w:tc>
        <w:tc>
          <w:tcPr/>
          <w:p>
            <w:pPr>
              <w:pStyle w:val="Compact"/>
              <w:jc w:val="left"/>
            </w:pPr>
            <w:r>
              <w:t xml:space="preserve">12 months</w:t>
            </w:r>
          </w:p>
        </w:tc>
        <w:tc>
          <w:tcPr/>
          <w:p>
            <w:pPr>
              <w:pStyle w:val="Compact"/>
              <w:jc w:val="left"/>
            </w:pPr>
            <w:r>
              <w:t xml:space="preserve">Flat fee</w:t>
            </w:r>
          </w:p>
        </w:tc>
        <w:tc>
          <w:tcPr/>
          <w:p>
            <w:pPr>
              <w:pStyle w:val="Compact"/>
              <w:jc w:val="left"/>
            </w:pPr>
            <w:r>
              <w:t xml:space="preserve">12,000.00</w:t>
            </w:r>
          </w:p>
        </w:tc>
      </w:tr>
      <w:tr>
        <w:tc>
          <w:tcPr>
            <w:gridSpan w:val="4"/>
          </w:tcPr>
          <w:p>
            <w:pPr>
              <w:pStyle w:val="Compact"/>
              <w:jc w:val="right"/>
            </w:pPr>
            <w:r>
              <w:t xml:space="preserve">Subtotal (excl. VAT)</w:t>
            </w:r>
          </w:p>
        </w:tc>
        <w:tc>
          <w:tcPr/>
          <w:p>
            <w:pPr>
              <w:pStyle w:val="Compact"/>
              <w:jc w:val="left"/>
            </w:pPr>
            <w:r>
              <w:t xml:space="preserve">366,600.00</w:t>
            </w:r>
          </w:p>
        </w:tc>
      </w:tr>
      <w:tr>
        <w:tc>
          <w:tcPr>
            <w:gridSpan w:val="4"/>
          </w:tcPr>
          <w:p>
            <w:pPr>
              <w:pStyle w:val="Compact"/>
              <w:jc w:val="right"/>
            </w:pPr>
            <w:r>
              <w:t xml:space="preserve">VAT (18%)</w:t>
            </w:r>
          </w:p>
        </w:tc>
        <w:tc>
          <w:tcPr/>
          <w:p>
            <w:pPr>
              <w:pStyle w:val="Compact"/>
              <w:jc w:val="left"/>
            </w:pPr>
            <w:r>
              <w:t xml:space="preserve">65,988.00</w:t>
            </w:r>
          </w:p>
        </w:tc>
      </w:tr>
      <w:tr>
        <w:tc>
          <w:tcPr>
            <w:gridSpan w:val="4"/>
          </w:tcPr>
          <w:p>
            <w:pPr>
              <w:pStyle w:val="Compact"/>
              <w:jc w:val="right"/>
            </w:pPr>
            <w:r>
              <w:t xml:space="preserve">TOTAL AMOUNT DUE (incl. VAT)</w:t>
            </w:r>
          </w:p>
        </w:tc>
        <w:tc>
          <w:tcPr/>
          <w:p>
            <w:pPr>
              <w:pStyle w:val="Compact"/>
              <w:jc w:val="left"/>
            </w:pPr>
            <w:r>
              <w:t xml:space="preserve">432,588.00</w:t>
            </w:r>
          </w:p>
        </w:tc>
      </w:tr>
    </w:tbl>
    <w:p>
      <w:pPr>
        <w:pStyle w:val="BodyText"/>
      </w:pPr>
      <w:r>
        <w:t xml:space="preserve">Payment Schedule</w:t>
      </w:r>
    </w:p>
    <w:p>
      <w:pPr>
        <w:pStyle w:val="BodyText"/>
      </w:pPr>
      <w:r>
        <w:t xml:space="preserve">In accordance with the terms of this</w:t>
      </w:r>
      <w:r>
        <w:t xml:space="preserve"> </w:t>
      </w:r>
      <w:r>
        <w:t xml:space="preserve">Quotation Estimate</w:t>
      </w:r>
      <w:r>
        <w:t xml:space="preserve">, payment for the</w:t>
      </w:r>
      <w:r>
        <w:t xml:space="preserve"> </w:t>
      </w:r>
      <w:r>
        <w:t xml:space="preserve">Project Manager</w:t>
      </w:r>
      <w:r>
        <w:t xml:space="preserve"> </w:t>
      </w:r>
      <w:r>
        <w:t xml:space="preserve">services in</w:t>
      </w:r>
      <w:r>
        <w:t xml:space="preserve"> </w:t>
      </w:r>
      <w:r>
        <w:t xml:space="preserve">Israel Jerusalem</w:t>
      </w:r>
      <w:r>
        <w:t xml:space="preserve"> </w:t>
      </w:r>
      <w:r>
        <w:t xml:space="preserve">shall be structured as follows: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(ILS, incl. VAT)</w:t>
            </w:r>
          </w:p>
        </w:tc>
        <w:tc>
          <w:tcPr/>
          <w:p>
            <w:pPr>
              <w:pStyle w:val="Compact"/>
              <w:jc w:val="left"/>
            </w:pPr>
            <w:r>
              <w:t xml:space="preserve">Due Date</w:t>
            </w:r>
          </w:p>
        </w:tc>
      </w:tr>
      <w:tr>
        <w:tc>
          <w:tcPr/>
          <w:p>
            <w:pPr>
              <w:pStyle w:val="Compact"/>
              <w:jc w:val="left"/>
            </w:pPr>
            <w:r>
              <w:t xml:space="preserve">Contract signing and project initiation</w:t>
            </w:r>
          </w:p>
        </w:tc>
        <w:tc>
          <w:tcPr/>
          <w:p>
            <w:pPr>
              <w:pStyle w:val="Compact"/>
              <w:jc w:val="left"/>
            </w:pPr>
            <w:r>
              <w:t xml:space="preserve">20%</w:t>
            </w:r>
          </w:p>
        </w:tc>
        <w:tc>
          <w:tcPr/>
          <w:p>
            <w:pPr>
              <w:pStyle w:val="Compact"/>
              <w:jc w:val="left"/>
            </w:pPr>
            <w:r>
              <w:t xml:space="preserve">86,517.60</w:t>
            </w:r>
          </w:p>
        </w:tc>
        <w:tc>
          <w:tcPr/>
          <w:p>
            <w:pPr>
              <w:pStyle w:val="Compact"/>
              <w:jc w:val="left"/>
            </w:pPr>
            <w:r>
              <w:t xml:space="preserve">Within 14 days of signing</w:t>
            </w:r>
          </w:p>
        </w:tc>
      </w:tr>
      <w:tr>
        <w:tc>
          <w:tcPr/>
          <w:p>
            <w:pPr>
              <w:pStyle w:val="Compact"/>
              <w:jc w:val="left"/>
            </w:pPr>
            <w:r>
              <w:t xml:space="preserve">Monthly retainer (months 1–11)</w:t>
            </w:r>
          </w:p>
        </w:tc>
        <w:tc>
          <w:tcPr/>
          <w:p>
            <w:pPr>
              <w:pStyle w:val="Compact"/>
              <w:jc w:val="left"/>
            </w:pPr>
            <w:r>
              <w:t xml:space="preserve">~6.3% / month</w:t>
            </w:r>
          </w:p>
        </w:tc>
        <w:tc>
          <w:tcPr/>
          <w:p>
            <w:pPr>
              <w:pStyle w:val="Compact"/>
              <w:jc w:val="left"/>
            </w:pPr>
            <w:r>
              <w:t xml:space="preserve">27,258.80 / month</w:t>
            </w:r>
          </w:p>
        </w:tc>
        <w:tc>
          <w:tcPr/>
          <w:p>
            <w:pPr>
              <w:pStyle w:val="Compact"/>
              <w:jc w:val="left"/>
            </w:pPr>
            <w:r>
              <w:t xml:space="preserve">5th of each month</w:t>
            </w:r>
          </w:p>
        </w:tc>
      </w:tr>
      <w:tr>
        <w:tc>
          <w:tcPr/>
          <w:p>
            <w:pPr>
              <w:pStyle w:val="Compact"/>
              <w:jc w:val="left"/>
            </w:pPr>
            <w:r>
              <w:t xml:space="preserve">Final closeout and documentation delivery</w:t>
            </w:r>
          </w:p>
        </w:tc>
        <w:tc>
          <w:tcPr/>
          <w:p>
            <w:pPr>
              <w:pStyle w:val="Compact"/>
              <w:jc w:val="left"/>
            </w:pPr>
            <w:r>
              <w:t xml:space="preserve">10%</w:t>
            </w:r>
          </w:p>
        </w:tc>
        <w:tc>
          <w:tcPr/>
          <w:p>
            <w:pPr>
              <w:pStyle w:val="Compact"/>
              <w:jc w:val="left"/>
            </w:pPr>
            <w:r>
              <w:t xml:space="preserve">43,258.80</w:t>
            </w:r>
          </w:p>
        </w:tc>
        <w:tc>
          <w:tcPr/>
          <w:p>
            <w:pPr>
              <w:pStyle w:val="Compact"/>
              <w:jc w:val="left"/>
            </w:pPr>
            <w:r>
              <w:t xml:space="preserve">Within 14 days of closeout</w:t>
            </w:r>
          </w:p>
        </w:tc>
      </w:tr>
    </w:tbl>
    <w:p>
      <w:pPr>
        <w:pStyle w:val="BodyText"/>
      </w:pPr>
      <w:r>
        <w:t xml:space="preserve">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the expiry date, all rates and terms are subject to revision.</w:t>
      </w:r>
    </w:p>
    <w:p>
      <w:pPr>
        <w:numPr>
          <w:ilvl w:val="0"/>
          <w:numId w:val="1002"/>
        </w:numPr>
        <w:pStyle w:val="Compact"/>
      </w:pPr>
      <w:r>
        <w:t xml:space="preserve">The</w:t>
      </w:r>
      <w:r>
        <w:t xml:space="preserve"> </w:t>
      </w:r>
      <w:r>
        <w:t xml:space="preserve">Project Manager</w:t>
      </w:r>
      <w:r>
        <w:t xml:space="preserve"> </w:t>
      </w:r>
      <w:r>
        <w:t xml:space="preserve">shall be engaged on a full-time, exclusive basis for the duration specified herein. Any extension of service beyond the 12-month term shall require a written amendment to this agreement.</w:t>
      </w:r>
    </w:p>
    <w:p>
      <w:pPr>
        <w:numPr>
          <w:ilvl w:val="0"/>
          <w:numId w:val="1002"/>
        </w:numPr>
        <w:pStyle w:val="Compact"/>
      </w:pPr>
      <w:r>
        <w:t xml:space="preserve">All work shall be performed in</w:t>
      </w:r>
      <w:r>
        <w:t xml:space="preserve"> </w:t>
      </w:r>
      <w:r>
        <w:t xml:space="preserve">Israel Jerusalem</w:t>
      </w:r>
      <w:r>
        <w:t xml:space="preserve"> </w:t>
      </w:r>
      <w:r>
        <w:t xml:space="preserve">unless otherwise agreed in writing. Travel to sites outside the Jerusalem municipality will be billed at an additional rate of ILS 150 per hour.</w:t>
      </w:r>
    </w:p>
    <w:p>
      <w:pPr>
        <w:numPr>
          <w:ilvl w:val="0"/>
          <w:numId w:val="1002"/>
        </w:numPr>
        <w:pStyle w:val="Compact"/>
      </w:pPr>
      <w:r>
        <w:t xml:space="preserve">The client shall provide the</w:t>
      </w:r>
      <w:r>
        <w:t xml:space="preserve"> </w:t>
      </w:r>
      <w:r>
        <w:t xml:space="preserve">Project Manager</w:t>
      </w:r>
      <w:r>
        <w:t xml:space="preserve"> </w:t>
      </w:r>
      <w:r>
        <w:t xml:space="preserve">with a dedicated workspace, access to all relevant project documentation, and reasonable administrative support at the project site in</w:t>
      </w:r>
      <w:r>
        <w:t xml:space="preserve"> </w:t>
      </w:r>
      <w:r>
        <w:t xml:space="preserve">Israel Jerusalem</w:t>
      </w:r>
      <w:r>
        <w:t xml:space="preserve">.</w:t>
      </w:r>
    </w:p>
    <w:p>
      <w:pPr>
        <w:numPr>
          <w:ilvl w:val="0"/>
          <w:numId w:val="1002"/>
        </w:numPr>
        <w:pStyle w:val="Compact"/>
      </w:pPr>
      <w:r>
        <w:t xml:space="preserve">Any change in project scope, timeline, or deliverables must be documented through a formal Change Order signed by both parties before implementation. Adjustments to the total amount in this</w:t>
      </w:r>
      <w:r>
        <w:t xml:space="preserve"> </w:t>
      </w:r>
      <w:r>
        <w:t xml:space="preserve">Quotation Estimate</w:t>
      </w:r>
      <w:r>
        <w:t xml:space="preserve"> </w:t>
      </w:r>
      <w:r>
        <w:t xml:space="preserve">will be reflected accordingly.</w:t>
      </w:r>
    </w:p>
    <w:p>
      <w:pPr>
        <w:numPr>
          <w:ilvl w:val="0"/>
          <w:numId w:val="1002"/>
        </w:numPr>
        <w:pStyle w:val="Compact"/>
      </w:pPr>
      <w:r>
        <w:t xml:space="preserve">Confidentiality: The</w:t>
      </w:r>
      <w:r>
        <w:t xml:space="preserve"> </w:t>
      </w:r>
      <w:r>
        <w:t xml:space="preserve">Project Manager</w:t>
      </w:r>
      <w:r>
        <w:t xml:space="preserve"> </w:t>
      </w:r>
      <w:r>
        <w:t xml:space="preserve">and Meridian Project Solutions Ltd. shall maintain strict confidentiality regarding all project information, client data, and proprietary materials encountered during the engagement in</w:t>
      </w:r>
      <w:r>
        <w:t xml:space="preserve"> </w:t>
      </w:r>
      <w:r>
        <w:t xml:space="preserve">Israel Jerusalem</w:t>
      </w:r>
      <w:r>
        <w:t xml:space="preserve">.</w:t>
      </w:r>
    </w:p>
    <w:p>
      <w:pPr>
        <w:numPr>
          <w:ilvl w:val="0"/>
          <w:numId w:val="1002"/>
        </w:numPr>
        <w:pStyle w:val="Compact"/>
      </w:pPr>
      <w:r>
        <w:t xml:space="preserve">Termination: Either party may terminate this engagement with thirty (30) days' written notice. In the event of early termination, the client shall be liable for all services rendered up to the termination date plus a 10% administrative fee.</w:t>
      </w:r>
    </w:p>
    <w:p>
      <w:pPr>
        <w:numPr>
          <w:ilvl w:val="0"/>
          <w:numId w:val="1002"/>
        </w:numPr>
        <w:pStyle w:val="Compact"/>
      </w:pPr>
      <w:r>
        <w:t xml:space="preserve">Disputes arising from this</w:t>
      </w:r>
      <w:r>
        <w:t xml:space="preserve"> </w:t>
      </w:r>
      <w:r>
        <w:t xml:space="preserve">Quotation Estimate</w:t>
      </w:r>
      <w:r>
        <w:t xml:space="preserve"> </w:t>
      </w:r>
      <w:r>
        <w:t xml:space="preserve">or the resulting contract shall be resolved through mediation in</w:t>
      </w:r>
      <w:r>
        <w:t xml:space="preserve"> </w:t>
      </w:r>
      <w:r>
        <w:t xml:space="preserve">Israel Jerusalem</w:t>
      </w:r>
      <w:r>
        <w:t xml:space="preserve"> </w:t>
      </w:r>
      <w:r>
        <w:t xml:space="preserve">in accordance with the laws of the State of Israel. If mediation fails, the matter shall be referred to the competent courts in Jerusalem.</w:t>
      </w:r>
    </w:p>
    <w:p>
      <w:pPr>
        <w:numPr>
          <w:ilvl w:val="0"/>
          <w:numId w:val="1002"/>
        </w:numPr>
        <w:pStyle w:val="Compact"/>
      </w:pPr>
      <w:r>
        <w:t xml:space="preserve">All amounts stated in this document are in Israeli New Shekels (ILS) and are inclusive of applicable taxes unless otherwise noted.</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countersigned by both parties and a formal Service Agreement is executed.</w:t>
      </w:r>
    </w:p>
    <w:p>
      <w:pPr>
        <w:pStyle w:val="FirstParagraph"/>
      </w:pPr>
      <w:r>
        <w:t xml:space="preserve">Acceptance and Authorization</w:t>
      </w:r>
    </w:p>
    <w:p>
      <w:pPr>
        <w:pStyle w:val="BodyText"/>
      </w:pPr>
      <w:r>
        <w:t xml:space="preserve">By signing below, both parties acknowledge that they have read, understood, and agree to the terms set forth in this</w:t>
      </w:r>
      <w:r>
        <w:t xml:space="preserve"> </w:t>
      </w:r>
      <w:r>
        <w:t xml:space="preserve">Quotation Estimate</w:t>
      </w:r>
      <w:r>
        <w:t xml:space="preserve"> </w:t>
      </w:r>
      <w:r>
        <w:t xml:space="preserve">for the engagement of a</w:t>
      </w:r>
      <w:r>
        <w:t xml:space="preserve"> </w:t>
      </w:r>
      <w:r>
        <w:t xml:space="preserve">Project Manager</w:t>
      </w:r>
      <w:r>
        <w:t xml:space="preserve"> </w:t>
      </w:r>
      <w:r>
        <w:t xml:space="preserve">in</w:t>
      </w:r>
      <w:r>
        <w:t xml:space="preserve"> </w:t>
      </w:r>
      <w:r>
        <w:t xml:space="preserve">Israel Jerusalem</w:t>
      </w:r>
      <w:r>
        <w:t xml:space="preserve">.</w:t>
      </w:r>
    </w:p>
    <w:p>
      <w:pPr>
        <w:pStyle w:val="BodyText"/>
      </w:pPr>
      <w:r>
        <w:rPr>
          <w:bCs/>
          <w:b/>
        </w:rPr>
        <w:t xml:space="preserve">For Meridian Project Solutions Ltd.</w:t>
      </w:r>
    </w:p>
    <w:p>
      <w:pPr>
        <w:pStyle w:val="BodyText"/>
      </w:pPr>
      <w:r>
        <w:t xml:space="preserve">Name: _________________________</w:t>
      </w:r>
      <w:r>
        <w:br/>
      </w:r>
      <w:r>
        <w:t xml:space="preserve">Title: _________________________</w:t>
      </w:r>
      <w:r>
        <w:br/>
      </w:r>
      <w:r>
        <w:t xml:space="preserve">Signature &amp; Date: _________________________</w:t>
      </w:r>
    </w:p>
    <w:p>
      <w:pPr>
        <w:pStyle w:val="BodyText"/>
      </w:pPr>
      <w:r>
        <w:rPr>
          <w:bCs/>
          <w:b/>
        </w:rPr>
        <w:t xml:space="preserve">For the Client</w:t>
      </w:r>
    </w:p>
    <w:p>
      <w:pPr>
        <w:pStyle w:val="BodyText"/>
      </w:pPr>
      <w:r>
        <w:t xml:space="preserve">Name: _________________________</w:t>
      </w:r>
      <w:r>
        <w:br/>
      </w:r>
      <w:r>
        <w:t xml:space="preserve">Title: _________________________</w:t>
      </w:r>
      <w:r>
        <w:br/>
      </w:r>
      <w:r>
        <w:t xml:space="preserve">Signature &amp; Date: _________________________</w:t>
      </w:r>
    </w:p>
    <w:p>
      <w:pPr>
        <w:pStyle w:val="BodyText"/>
      </w:pPr>
      <w:r>
        <w:t xml:space="preserve">Meridian Project Solutions Ltd. | 12 King George Street, Jerusalem 91000, Israel | VAT: 51-800-234-567</w:t>
      </w:r>
    </w:p>
    <w:p>
      <w:pPr>
        <w:pStyle w:val="BodyText"/>
      </w:pPr>
      <w:r>
        <w:t xml:space="preserve">This Quotation Estimate (Ref: QTE-2025-JER-0487) is the property of Meridian Project Solutions Ltd. and is intended solely for the named client. Unauthorized reproduction or distribution is prohibited.</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Project Manager Services - Israel Jerusalem</dc:title>
  <dc:creator/>
  <dc:language>en</dc:language>
  <cp:keywords/>
  <dcterms:created xsi:type="dcterms:W3CDTF">2026-10-10T02:39:56Z</dcterms:created>
  <dcterms:modified xsi:type="dcterms:W3CDTF">2026-10-10T02:39:56Z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