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Project Manager Services — Israel Tel Aviv</w:t>
      </w:r>
    </w:p>
    <w:bookmarkEnd w:id="20"/>
    <w:p>
      <w:pPr>
        <w:pStyle w:val="BodyText"/>
      </w:pPr>
      <w:r>
        <w:rPr>
          <w:bCs/>
          <w:b/>
        </w:rPr>
        <w:t xml:space="preserve">Meridian Project Solutions Ltd.</w:t>
      </w:r>
      <w:r>
        <w:br/>
      </w:r>
      <w:r>
        <w:t xml:space="preserve">42 Dizengoff Street, Floor 7</w:t>
      </w:r>
      <w:r>
        <w:br/>
      </w:r>
      <w:r>
        <w:t xml:space="preserve">Tel Aviv, 6350000, Israel</w:t>
      </w:r>
      <w:r>
        <w:br/>
      </w:r>
      <w:r>
        <w:t xml:space="preserve">Tel: +972-3-555-0142</w:t>
      </w:r>
      <w:r>
        <w:br/>
      </w:r>
      <w:r>
        <w:t xml:space="preserve">Email: quotes@meridianps.co.il</w:t>
      </w:r>
      <w:r>
        <w:br/>
      </w:r>
      <w:r>
        <w:t xml:space="preserve">VAT: 518045672-0</w:t>
      </w:r>
    </w:p>
    <w:p>
      <w:pPr>
        <w:pStyle w:val="BodyText"/>
      </w:pPr>
      <w:r>
        <w:rPr>
          <w:bCs/>
          <w:b/>
        </w:rPr>
        <w:t xml:space="preserve">Prepared For:</w:t>
      </w:r>
      <w:r>
        <w:br/>
      </w:r>
      <w:r>
        <w:t xml:space="preserve">[Client Company Name]</w:t>
      </w:r>
      <w:r>
        <w:br/>
      </w:r>
      <w:r>
        <w:t xml:space="preserve">[Client Address]</w:t>
      </w:r>
      <w:r>
        <w:br/>
      </w:r>
      <w:r>
        <w:t xml:space="preserve">Tel Aviv, Israel</w:t>
      </w:r>
      <w:r>
        <w:br/>
      </w:r>
      <w:r>
        <w:t xml:space="preserve">Contact: [Client Contact Name]</w:t>
      </w:r>
      <w:r>
        <w:br/>
      </w:r>
      <w:r>
        <w:t xml:space="preserve">Email: [client@email.com]</w:t>
      </w:r>
    </w:p>
    <w:p>
      <w:pPr>
        <w:pStyle w:val="BodyText"/>
      </w:pPr>
      <w:r>
        <w:t xml:space="preserve">Quotation No.:</w:t>
      </w:r>
      <w:r>
        <w:t xml:space="preserve"> </w:t>
      </w:r>
      <w:r>
        <w:t xml:space="preserve">QTE-2025-TLV-0847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 (30 days)</w:t>
      </w:r>
    </w:p>
    <w:p>
      <w:pPr>
        <w:pStyle w:val="BodyText"/>
      </w:pPr>
      <w:r>
        <w:t xml:space="preserve">Service Location:</w:t>
      </w:r>
      <w:r>
        <w:t xml:space="preserve"> </w:t>
      </w:r>
      <w:r>
        <w:t xml:space="preserve">Israel Tel Aviv</w:t>
      </w:r>
    </w:p>
    <w:p>
      <w:pPr>
        <w:pStyle w:val="BodyText"/>
      </w:pPr>
      <w:r>
        <w:t xml:space="preserve">Engagement Type:</w:t>
      </w:r>
      <w:r>
        <w:t xml:space="preserve"> </w:t>
      </w:r>
      <w:r>
        <w:t xml:space="preserve">Full-Time Project Manager</w:t>
      </w:r>
    </w:p>
    <w:p>
      <w:pPr>
        <w:pStyle w:val="BodyText"/>
      </w:pPr>
      <w:r>
        <w:t xml:space="preserve">Contract Duration:</w:t>
      </w:r>
      <w:r>
        <w:t xml:space="preserve"> </w:t>
      </w:r>
      <w:r>
        <w:t xml:space="preserve">12 Months (Renewable)</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Meridian Project Solutions Ltd. to provide a comprehensive and transparent financial proposal for the engagement of a senior</w:t>
      </w:r>
      <w:r>
        <w:t xml:space="preserve"> </w:t>
      </w:r>
      <w:r>
        <w:t xml:space="preserve">Project Manager</w:t>
      </w:r>
      <w:r>
        <w:t xml:space="preserve"> </w:t>
      </w:r>
      <w:r>
        <w:t xml:space="preserve">to be deployed and operational within the metropolitan area of</w:t>
      </w:r>
      <w:r>
        <w:t xml:space="preserve"> </w:t>
      </w:r>
      <w:r>
        <w:t xml:space="preserve">Israel Tel Aviv</w:t>
      </w:r>
      <w:r>
        <w:t xml:space="preserve">. The proposed engagement is designed to deliver end-to-end project leadership, stakeholder coordination, and delivery assurance for the client's ongoing and upcoming initiatives. All rates, deliverables, and terms outlined in this document are specific to the Tel Aviv market and reflect current industry standards for professional project management services in the region.</w:t>
      </w:r>
    </w:p>
    <w:bookmarkEnd w:id="21"/>
    <w:bookmarkStart w:id="22" w:name="scope-of-services"/>
    <w:p>
      <w:pPr>
        <w:pStyle w:val="Heading2"/>
      </w:pPr>
      <w:r>
        <w:t xml:space="preserve">2. Scope of Services</w:t>
      </w:r>
    </w:p>
    <w:p>
      <w:pPr>
        <w:pStyle w:val="FirstParagraph"/>
      </w:pPr>
      <w:r>
        <w:t xml:space="preserve">The</w:t>
      </w:r>
      <w:r>
        <w:t xml:space="preserve"> </w:t>
      </w:r>
      <w:r>
        <w:t xml:space="preserve">Project Manager</w:t>
      </w:r>
      <w:r>
        <w:t xml:space="preserve"> </w:t>
      </w:r>
      <w:r>
        <w:t xml:space="preserve">engaged under this</w:t>
      </w:r>
      <w:r>
        <w:t xml:space="preserve"> </w:t>
      </w:r>
      <w:r>
        <w:t xml:space="preserve">Quotation Estimate</w:t>
      </w:r>
      <w:r>
        <w:t xml:space="preserve"> </w:t>
      </w:r>
      <w:r>
        <w:t xml:space="preserve">will be based in the Tel Aviv office and will perform the following core responsibilities:</w:t>
      </w:r>
    </w:p>
    <w:p>
      <w:pPr>
        <w:numPr>
          <w:ilvl w:val="0"/>
          <w:numId w:val="1001"/>
        </w:numPr>
        <w:pStyle w:val="Compact"/>
      </w:pPr>
      <w:r>
        <w:t xml:space="preserve">Full lifecycle project planning, scheduling, and execution oversight for up to three concurrent projects.</w:t>
      </w:r>
    </w:p>
    <w:p>
      <w:pPr>
        <w:numPr>
          <w:ilvl w:val="0"/>
          <w:numId w:val="1001"/>
        </w:numPr>
        <w:pStyle w:val="Compact"/>
      </w:pPr>
      <w:r>
        <w:t xml:space="preserve">Development and maintenance of project charters, work breakdown structures (WBS), and critical path analyses.</w:t>
      </w:r>
    </w:p>
    <w:p>
      <w:pPr>
        <w:numPr>
          <w:ilvl w:val="0"/>
          <w:numId w:val="1001"/>
        </w:numPr>
        <w:pStyle w:val="Compact"/>
      </w:pPr>
      <w:r>
        <w:t xml:space="preserve">Coordination with cross-functional teams across engineering, design, procurement, and quality assurance departments located in Israel Tel Aviv.</w:t>
      </w:r>
    </w:p>
    <w:p>
      <w:pPr>
        <w:numPr>
          <w:ilvl w:val="0"/>
          <w:numId w:val="1001"/>
        </w:numPr>
        <w:pStyle w:val="Compact"/>
      </w:pPr>
      <w:r>
        <w:t xml:space="preserve">Stakeholder management and regular reporting to the client's executive leadership, including weekly status reports and monthly steering committee presentations.</w:t>
      </w:r>
    </w:p>
    <w:p>
      <w:pPr>
        <w:numPr>
          <w:ilvl w:val="0"/>
          <w:numId w:val="1001"/>
        </w:numPr>
        <w:pStyle w:val="Compact"/>
      </w:pPr>
      <w:r>
        <w:t xml:space="preserve">Risk identification, mitigation planning, and issue escalation in accordance with PMBOK and PRINCE2 methodologies.</w:t>
      </w:r>
    </w:p>
    <w:p>
      <w:pPr>
        <w:numPr>
          <w:ilvl w:val="0"/>
          <w:numId w:val="1001"/>
        </w:numPr>
        <w:pStyle w:val="Compact"/>
      </w:pPr>
      <w:r>
        <w:t xml:space="preserve">Budget tracking, cost forecasting, and variance analysis for all assigned projects.</w:t>
      </w:r>
    </w:p>
    <w:p>
      <w:pPr>
        <w:numPr>
          <w:ilvl w:val="0"/>
          <w:numId w:val="1001"/>
        </w:numPr>
        <w:pStyle w:val="Compact"/>
      </w:pPr>
      <w:r>
        <w:t xml:space="preserve">Vendor and subcontractor management, including contract administration and performance monitoring.</w:t>
      </w:r>
    </w:p>
    <w:p>
      <w:pPr>
        <w:numPr>
          <w:ilvl w:val="0"/>
          <w:numId w:val="1001"/>
        </w:numPr>
        <w:pStyle w:val="Compact"/>
      </w:pPr>
      <w:r>
        <w:t xml:space="preserve">Compliance with Israeli labor regulations, safety standards, and any applicable municipal permits required for projects within Tel Aviv city limits.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Senior Project Manager — Monthly Professional Fee (includes salary, benefits, and employer contributions per Israeli labor law)</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2</w:t>
            </w:r>
          </w:p>
        </w:tc>
        <w:tc>
          <w:tcPr/>
          <w:p>
            <w:pPr>
              <w:pStyle w:val="Compact"/>
              <w:jc w:val="left"/>
            </w:pPr>
            <w:r>
              <w:t xml:space="preserve">Project Management Software &amp; Tools License (MS Project, Jira, Confluence, Asana)</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18,600</w:t>
            </w:r>
          </w:p>
        </w:tc>
        <w:tc>
          <w:tcPr/>
          <w:p>
            <w:pPr>
              <w:pStyle w:val="Compact"/>
              <w:jc w:val="left"/>
            </w:pPr>
            <w:r>
              <w:t xml:space="preserve">18,600</w:t>
            </w:r>
          </w:p>
        </w:tc>
      </w:tr>
      <w:tr>
        <w:tc>
          <w:tcPr/>
          <w:p>
            <w:pPr>
              <w:pStyle w:val="Compact"/>
              <w:jc w:val="left"/>
            </w:pPr>
            <w:r>
              <w:t xml:space="preserve">3</w:t>
            </w:r>
          </w:p>
        </w:tc>
        <w:tc>
          <w:tcPr/>
          <w:p>
            <w:pPr>
              <w:pStyle w:val="Compact"/>
              <w:jc w:val="left"/>
            </w:pPr>
            <w:r>
              <w:t xml:space="preserve">Dedicated Office Space &amp; Equipment in Tel Aviv (desk, dual monitors, secure workstation)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w:t>
            </w:r>
          </w:p>
        </w:tc>
        <w:tc>
          <w:tcPr/>
          <w:p>
            <w:pPr>
              <w:pStyle w:val="Compact"/>
              <w:jc w:val="left"/>
            </w:pPr>
            <w:r>
              <w:t xml:space="preserve">38,400</w:t>
            </w:r>
          </w:p>
        </w:tc>
      </w:tr>
      <w:tr>
        <w:tc>
          <w:tcPr/>
          <w:p>
            <w:pPr>
              <w:pStyle w:val="Compact"/>
              <w:jc w:val="left"/>
            </w:pPr>
            <w:r>
              <w:t xml:space="preserve">4</w:t>
            </w:r>
          </w:p>
        </w:tc>
        <w:tc>
          <w:tcPr/>
          <w:p>
            <w:pPr>
              <w:pStyle w:val="Compact"/>
              <w:jc w:val="left"/>
            </w:pPr>
            <w:r>
              <w:t xml:space="preserve">Travel &amp; Site Visits within Tel Aviv Metropolitan Area (estimated 80 site visits)</w:t>
            </w:r>
          </w:p>
        </w:tc>
        <w:tc>
          <w:tcPr/>
          <w:p>
            <w:pPr>
              <w:pStyle w:val="Compact"/>
              <w:jc w:val="left"/>
            </w:pPr>
            <w:r>
              <w:t xml:space="preserve">Visit</w:t>
            </w:r>
          </w:p>
        </w:tc>
        <w:tc>
          <w:tcPr/>
          <w:p>
            <w:pPr>
              <w:pStyle w:val="Compact"/>
              <w:jc w:val="left"/>
            </w:pPr>
            <w:r>
              <w:t xml:space="preserve">80</w:t>
            </w:r>
          </w:p>
        </w:tc>
        <w:tc>
          <w:tcPr/>
          <w:p>
            <w:pPr>
              <w:pStyle w:val="Compact"/>
              <w:jc w:val="left"/>
            </w:pPr>
            <w:r>
              <w:t xml:space="preserve">450</w:t>
            </w:r>
          </w:p>
        </w:tc>
        <w:tc>
          <w:tcPr/>
          <w:p>
            <w:pPr>
              <w:pStyle w:val="Compact"/>
              <w:jc w:val="left"/>
            </w:pPr>
            <w:r>
              <w:t xml:space="preserve">36,000</w:t>
            </w:r>
          </w:p>
        </w:tc>
      </w:tr>
      <w:tr>
        <w:tc>
          <w:tcPr/>
          <w:p>
            <w:pPr>
              <w:pStyle w:val="Compact"/>
              <w:jc w:val="left"/>
            </w:pPr>
            <w:r>
              <w:t xml:space="preserve">5</w:t>
            </w:r>
          </w:p>
        </w:tc>
        <w:tc>
          <w:tcPr/>
          <w:p>
            <w:pPr>
              <w:pStyle w:val="Compact"/>
              <w:jc w:val="left"/>
            </w:pPr>
            <w:r>
              <w:t xml:space="preserve">Stakeholder Workshops &amp; Kickoff Meetings (up to 6 sessions per quarter)</w:t>
            </w:r>
          </w:p>
        </w:tc>
        <w:tc>
          <w:tcPr/>
          <w:p>
            <w:pPr>
              <w:pStyle w:val="Compact"/>
              <w:jc w:val="left"/>
            </w:pPr>
            <w:r>
              <w:t xml:space="preserve">Session</w:t>
            </w:r>
          </w:p>
        </w:tc>
        <w:tc>
          <w:tcPr/>
          <w:p>
            <w:pPr>
              <w:pStyle w:val="Compact"/>
              <w:jc w:val="left"/>
            </w:pPr>
            <w:r>
              <w:t xml:space="preserve">24</w:t>
            </w:r>
          </w:p>
        </w:tc>
        <w:tc>
          <w:tcPr/>
          <w:p>
            <w:pPr>
              <w:pStyle w:val="Compact"/>
              <w:jc w:val="left"/>
            </w:pPr>
            <w:r>
              <w:t xml:space="preserve">2,800</w:t>
            </w:r>
          </w:p>
        </w:tc>
        <w:tc>
          <w:tcPr/>
          <w:p>
            <w:pPr>
              <w:pStyle w:val="Compact"/>
              <w:jc w:val="left"/>
            </w:pPr>
            <w:r>
              <w:t xml:space="preserve">67,200</w:t>
            </w:r>
          </w:p>
        </w:tc>
      </w:tr>
      <w:tr>
        <w:tc>
          <w:tcPr/>
          <w:p>
            <w:pPr>
              <w:pStyle w:val="Compact"/>
              <w:jc w:val="left"/>
            </w:pPr>
            <w:r>
              <w:t xml:space="preserve">6</w:t>
            </w:r>
          </w:p>
        </w:tc>
        <w:tc>
          <w:tcPr/>
          <w:p>
            <w:pPr>
              <w:pStyle w:val="Compact"/>
              <w:jc w:val="left"/>
            </w:pPr>
            <w:r>
              <w:t xml:space="preserve">Project Documentation &amp; Reporting Package (monthly deliverables, risk registers, lessons learned)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7</w:t>
            </w:r>
          </w:p>
        </w:tc>
        <w:tc>
          <w:tcPr/>
          <w:p>
            <w:pPr>
              <w:pStyle w:val="Compact"/>
              <w:jc w:val="left"/>
            </w:pPr>
            <w:r>
              <w:t xml:space="preserve">Contingency &amp; Administrative Overhead (8%)</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72,736</w:t>
            </w:r>
          </w:p>
        </w:tc>
      </w:tr>
      <w:tr>
        <w:tc>
          <w:tcPr>
            <w:gridSpan w:val="5"/>
          </w:tcPr>
          <w:p>
            <w:pPr>
              <w:pStyle w:val="Compact"/>
              <w:jc w:val="left"/>
            </w:pPr>
            <w:r>
              <w:t xml:space="preserve">Subtotal (excl. VAT)</w:t>
            </w:r>
          </w:p>
        </w:tc>
        <w:tc>
          <w:tcPr/>
          <w:p>
            <w:pPr>
              <w:pStyle w:val="Compact"/>
              <w:jc w:val="left"/>
            </w:pPr>
            <w:r>
              <w:t xml:space="preserve">868,936</w:t>
            </w:r>
          </w:p>
        </w:tc>
      </w:tr>
      <w:tr>
        <w:tc>
          <w:tcPr>
            <w:gridSpan w:val="5"/>
          </w:tcPr>
          <w:p>
            <w:pPr>
              <w:pStyle w:val="Compact"/>
              <w:jc w:val="left"/>
            </w:pPr>
            <w:r>
              <w:t xml:space="preserve">VAT @ 18% (Israel)</w:t>
            </w:r>
          </w:p>
        </w:tc>
        <w:tc>
          <w:tcPr/>
          <w:p>
            <w:pPr>
              <w:pStyle w:val="Compact"/>
              <w:jc w:val="left"/>
            </w:pPr>
            <w:r>
              <w:t xml:space="preserve">156,408</w:t>
            </w:r>
          </w:p>
        </w:tc>
      </w:tr>
      <w:tr>
        <w:tc>
          <w:tcPr>
            <w:gridSpan w:val="5"/>
          </w:tcPr>
          <w:p>
            <w:pPr>
              <w:pStyle w:val="Compact"/>
              <w:jc w:val="left"/>
            </w:pPr>
            <w:r>
              <w:t xml:space="preserve">TOTAL AMOUNT DUE (incl. VAT)</w:t>
            </w:r>
          </w:p>
        </w:tc>
        <w:tc>
          <w:tcPr/>
          <w:p>
            <w:pPr>
              <w:pStyle w:val="Compact"/>
              <w:jc w:val="left"/>
            </w:pPr>
            <w:r>
              <w:t xml:space="preserve">1,025,344 ILS</w:t>
            </w:r>
          </w:p>
        </w:tc>
      </w:tr>
    </w:tbl>
    <w:bookmarkEnd w:id="23"/>
    <w:bookmarkStart w:id="24" w:name="payment-schedule"/>
    <w:p>
      <w:pPr>
        <w:pStyle w:val="Heading2"/>
      </w:pPr>
      <w:r>
        <w:t xml:space="preserve">4. Payment Schedule</w:t>
      </w:r>
    </w:p>
    <w:p>
      <w:pPr>
        <w:pStyle w:val="FirstParagraph"/>
      </w:pPr>
      <w:r>
        <w:t xml:space="preserve">In accordance with the terms of this</w:t>
      </w:r>
      <w:r>
        <w:t xml:space="preserve"> </w:t>
      </w:r>
      <w:r>
        <w:t xml:space="preserve">Quotation Estimate</w:t>
      </w:r>
      <w:r>
        <w:t xml:space="preserve">, payment for the</w:t>
      </w:r>
      <w:r>
        <w:t xml:space="preserve"> </w:t>
      </w:r>
      <w:r>
        <w:t xml:space="preserve">Project Manager</w:t>
      </w:r>
      <w:r>
        <w:t xml:space="preserve"> </w:t>
      </w:r>
      <w:r>
        <w:t xml:space="preserve">engagement in Israel Tel Aviv shall be structured as follows:</w:t>
      </w:r>
    </w:p>
    <w:p>
      <w:pPr>
        <w:numPr>
          <w:ilvl w:val="0"/>
          <w:numId w:val="1002"/>
        </w:numPr>
        <w:pStyle w:val="Compact"/>
      </w:pPr>
      <w:r>
        <w:rPr>
          <w:bCs/>
          <w:b/>
        </w:rPr>
        <w:t xml:space="preserve">Advance Payment:</w:t>
      </w:r>
      <w:r>
        <w:t xml:space="preserve"> </w:t>
      </w:r>
      <w:r>
        <w:t xml:space="preserve">20% of the total contract value due upon signed acceptance of this quotation (approximately 205,069 ILS incl. VAT).</w:t>
      </w:r>
    </w:p>
    <w:p>
      <w:pPr>
        <w:numPr>
          <w:ilvl w:val="0"/>
          <w:numId w:val="1002"/>
        </w:numPr>
        <w:pStyle w:val="Compact"/>
      </w:pPr>
      <w:r>
        <w:rPr>
          <w:bCs/>
          <w:b/>
        </w:rPr>
        <w:t xml:space="preserve">Monthly Invoices:</w:t>
      </w:r>
      <w:r>
        <w:t xml:space="preserve"> </w:t>
      </w:r>
      <w:r>
        <w:t xml:space="preserve">The remaining 80% shall be invoiced on the 1st business day of each month for services rendered in the preceding month, payable within 30 days of invoice date.</w:t>
      </w:r>
    </w:p>
    <w:p>
      <w:pPr>
        <w:numPr>
          <w:ilvl w:val="0"/>
          <w:numId w:val="1002"/>
        </w:numPr>
        <w:pStyle w:val="Compact"/>
      </w:pPr>
      <w:r>
        <w:rPr>
          <w:bCs/>
          <w:b/>
        </w:rPr>
        <w:t xml:space="preserve">Final Settlement:</w:t>
      </w:r>
      <w:r>
        <w:t xml:space="preserve"> </w:t>
      </w:r>
      <w:r>
        <w:t xml:space="preserve">Any outstanding balance, including contingency drawdowns or additional approved change orders, shall be settled within 15 days of project closure.</w:t>
      </w:r>
    </w:p>
    <w:p>
      <w:pPr>
        <w:pStyle w:val="FirstParagraph"/>
      </w:pPr>
      <w:r>
        <w:t xml:space="preserve">All payments shall be made via bank transfer to the account of Meridian Project Solutions Ltd., Bank Leumi, Tel Aviv Branch. Invoices will be issued in New Israeli Shekels (ILS) and will include the applicable VAT number as required by the Israeli Tax Authority.</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may be subject to revision based on market conditions in Israel Tel Aviv.</w:t>
      </w:r>
    </w:p>
    <w:p>
      <w:pPr>
        <w:numPr>
          <w:ilvl w:val="0"/>
          <w:numId w:val="1003"/>
        </w:numPr>
        <w:pStyle w:val="Compact"/>
      </w:pPr>
      <w:r>
        <w:t xml:space="preserve">The</w:t>
      </w:r>
      <w:r>
        <w:t xml:space="preserve"> </w:t>
      </w:r>
      <w:r>
        <w:t xml:space="preserve">Project Manager</w:t>
      </w:r>
      <w:r>
        <w:t xml:space="preserve"> </w:t>
      </w:r>
      <w:r>
        <w:t xml:space="preserve">shall be subject to a non-disclosure agreement (NDA) and a non-compete clause in compliance with Israeli contract law (Contract Law, 5733-1973).</w:t>
      </w:r>
    </w:p>
    <w:p>
      <w:pPr>
        <w:numPr>
          <w:ilvl w:val="0"/>
          <w:numId w:val="1003"/>
        </w:numPr>
        <w:pStyle w:val="Compact"/>
      </w:pPr>
      <w:r>
        <w:t xml:space="preserve">Either party may terminate the engagement with a written notice of sixty (60) days. In the event of early termination, the client shall be liable for all fees accrued up to the termination date plus a termination fee equal to one month's professional fee.</w:t>
      </w:r>
    </w:p>
    <w:p>
      <w:pPr>
        <w:numPr>
          <w:ilvl w:val="0"/>
          <w:numId w:val="1003"/>
        </w:numPr>
        <w:pStyle w:val="Compact"/>
      </w:pPr>
      <w:r>
        <w:t xml:space="preserve">All work performed by the</w:t>
      </w:r>
      <w:r>
        <w:t xml:space="preserve"> </w:t>
      </w:r>
      <w:r>
        <w:t xml:space="preserve">Project Manager</w:t>
      </w:r>
      <w:r>
        <w:t xml:space="preserve"> </w:t>
      </w:r>
      <w:r>
        <w:t xml:space="preserve">shall comply with the Israeli Labor Law, 5722-1962, the Sickness Insurance Law, and the National Insurance Law. Employer contributions to Bituach Leumi (National Insurance) are included in the monthly professional fee.</w:t>
      </w:r>
    </w:p>
    <w:p>
      <w:pPr>
        <w:numPr>
          <w:ilvl w:val="0"/>
          <w:numId w:val="1003"/>
        </w:numPr>
        <w:pStyle w:val="Compact"/>
      </w:pPr>
      <w:r>
        <w:t xml:space="preserve">Intellectual property developed during the course of the engagement shall vest in the client upon full payment. The</w:t>
      </w:r>
      <w:r>
        <w:t xml:space="preserve"> </w:t>
      </w:r>
      <w:r>
        <w:t xml:space="preserve">Project Manager</w:t>
      </w:r>
      <w:r>
        <w:t xml:space="preserve"> </w:t>
      </w:r>
      <w:r>
        <w:t xml:space="preserve">retains the right to reference the engagement in professional portfolios with prior written consent.</w:t>
      </w:r>
    </w:p>
    <w:p>
      <w:pPr>
        <w:numPr>
          <w:ilvl w:val="0"/>
          <w:numId w:val="1003"/>
        </w:numPr>
        <w:pStyle w:val="Compact"/>
      </w:pPr>
      <w:r>
        <w:t xml:space="preserve">Any disputes arising from this</w:t>
      </w:r>
      <w:r>
        <w:t xml:space="preserve"> </w:t>
      </w:r>
      <w:r>
        <w:t xml:space="preserve">Quotation Estimate</w:t>
      </w:r>
      <w:r>
        <w:t xml:space="preserve"> </w:t>
      </w:r>
      <w:r>
        <w:t xml:space="preserve">or the resulting contract shall be resolved through mediation in Tel Aviv, and failing mediation, through the competent courts of Tel Aviv, Israel.</w:t>
      </w:r>
    </w:p>
    <w:p>
      <w:pPr>
        <w:numPr>
          <w:ilvl w:val="0"/>
          <w:numId w:val="1003"/>
        </w:numPr>
        <w:pStyle w:val="Compact"/>
      </w:pPr>
      <w:r>
        <w:t xml:space="preserve">This quotation does not constitute a binding contract until both parties have executed the formal Service Agreement. This</w:t>
      </w:r>
      <w:r>
        <w:t xml:space="preserve"> </w:t>
      </w:r>
      <w:r>
        <w:t xml:space="preserve">Quotation Estimate</w:t>
      </w:r>
      <w:r>
        <w:t xml:space="preserve"> </w:t>
      </w:r>
      <w:r>
        <w:t xml:space="preserve">serves solely as a financial proposal and scope definition.</w:t>
      </w:r>
    </w:p>
    <w:p>
      <w:pPr>
        <w:numPr>
          <w:ilvl w:val="0"/>
          <w:numId w:val="1003"/>
        </w:numPr>
        <w:pStyle w:val="Compact"/>
      </w:pPr>
      <w:r>
        <w:t xml:space="preserve">Force majeure events, including but not limited to natural disasters, government-mandated shutdowns, or security-related disruptions affecting the Tel Aviv region, shall suspend obligations without penalty for a period not exceeding ninety (90) days.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provisions outlined herein for the engagement of a</w:t>
      </w:r>
      <w:r>
        <w:t xml:space="preserve"> </w:t>
      </w:r>
      <w:r>
        <w:t xml:space="preserve">Project Manager</w:t>
      </w:r>
      <w:r>
        <w:t xml:space="preserve"> </w:t>
      </w:r>
      <w:r>
        <w:t xml:space="preserve">in Israel Tel Aviv.</w:t>
      </w:r>
    </w:p>
    <w:p>
      <w:pPr>
        <w:pStyle w:val="BodyText"/>
      </w:pPr>
      <w:r>
        <w:rPr>
          <w:bCs/>
          <w:b/>
        </w:rPr>
        <w:t xml:space="preserve">For Meridian Project Solutions Ltd.</w:t>
      </w:r>
    </w:p>
    <w:p>
      <w:pPr>
        <w:pStyle w:val="BodyText"/>
      </w:pPr>
      <w:r>
        <w:t xml:space="preserve">Name: 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Meridian Project Solutions Ltd. — 42 Dizengoff Street, Tel Aviv 6350000, Israel — VAT: 518045672-0</w:t>
      </w:r>
    </w:p>
    <w:p>
      <w:pPr>
        <w:pStyle w:val="BodyText"/>
      </w:pPr>
      <w:r>
        <w:t xml:space="preserve">This Quotation Estimate (Ref: QTE-2025-TLV-0847) is the property of Meridian Project Solutions Ltd. and is intended solely for the named client. Unauthorized reproduction or distribution is prohibited.</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Israel Tel Aviv</dc:title>
  <dc:creator/>
  <dc:language>en</dc:language>
  <cp:keywords/>
  <dcterms:created xsi:type="dcterms:W3CDTF">2026-10-10T01:06:01Z</dcterms:created>
  <dcterms:modified xsi:type="dcterms:W3CDTF">2026-10-10T01:06:01Z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