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Meridian Project Consulting LLC</w:t>
      </w:r>
    </w:p>
    <w:p>
      <w:pPr>
        <w:pStyle w:val="BodyText"/>
      </w:pPr>
      <w:r>
        <w:t xml:space="preserve">Office 1204, Al Hamra Tower, Al Hamra Street, Kuwait City, State of Kuwait</w:t>
      </w:r>
    </w:p>
    <w:p>
      <w:pPr>
        <w:pStyle w:val="BodyText"/>
      </w:pPr>
      <w:r>
        <w:t xml:space="preserve">Tel: +965 2244 5566 | Email: quotations@meridianprojectconsulting.kw</w:t>
      </w:r>
    </w:p>
    <w:p>
      <w:pPr>
        <w:pStyle w:val="BodyText"/>
      </w:pPr>
      <w:r>
        <w:t xml:space="preserve">Commercial Registration No: 184729 | VAT No: KU-48291037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QTE-KWT-2025-0487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Al Noor Development Group W.L.L.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Meridian Project Consulting LLC to Al Noor Development Group W.L.L. in relation to the engagement of a senior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to oversee and deliver the "Al Noor Commercial Tower Phase II" construction initiative located in</w:t>
      </w:r>
      <w:r>
        <w:t xml:space="preserve"> </w:t>
      </w:r>
      <w:r>
        <w:t xml:space="preserve">Kuwait Kuwait City</w:t>
      </w:r>
      <w:r>
        <w:t xml:space="preserve">. This document outlines the full scope of services, associated costs, payment milestones, and contractual terms governing the proposed engagement. All pricing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Kuwaiti Dinar (KWD) and is valid for a period of thirty (30) calendar days from the date of issue.</w:t>
      </w:r>
    </w:p>
    <w:bookmarkEnd w:id="21"/>
    <w:bookmarkStart w:id="22" w:name="X98d2de802d335042e5d503f69772bbc81a70d17"/>
    <w:p>
      <w:pPr>
        <w:pStyle w:val="Heading2"/>
      </w:pPr>
      <w:r>
        <w:t xml:space="preserve">2. Scope of Services – Project Manager Engagement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will be a PMP-certified professional with a minimum of fifteen (15) years of experience in large-scale commercial construction projects within the Gulf Cooperation Council (GCC) region, with a demonstrated track record of managing projects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and the broader State of Kuwait.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be responsible for the following core duties:</w:t>
      </w:r>
    </w:p>
    <w:p>
      <w:pPr>
        <w:numPr>
          <w:ilvl w:val="0"/>
          <w:numId w:val="1001"/>
        </w:numPr>
        <w:pStyle w:val="Compact"/>
      </w:pPr>
      <w:r>
        <w:t xml:space="preserve">End-to-end project planning, scheduling, and critical path management for the Al Noor Commercial Tower Phase II development.</w:t>
      </w:r>
    </w:p>
    <w:p>
      <w:pPr>
        <w:numPr>
          <w:ilvl w:val="0"/>
          <w:numId w:val="1001"/>
        </w:numPr>
        <w:pStyle w:val="Compact"/>
      </w:pPr>
      <w:r>
        <w:t xml:space="preserve">Coordination with all subcontractors, consultants, municipal authorities (including the Public Works Authority – Awqaf), and regulatory bodies operating within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Development and maintenance of the master project budget, cost forecasting, and variance analysis on a monthly basis.</w:t>
      </w:r>
    </w:p>
    <w:p>
      <w:pPr>
        <w:numPr>
          <w:ilvl w:val="0"/>
          <w:numId w:val="1001"/>
        </w:numPr>
        <w:pStyle w:val="Compact"/>
      </w:pPr>
      <w:r>
        <w:t xml:space="preserve">Quality assurance and quality control oversight in compliance with Kuwait Building Code and international standards (ISO 9001, ISO 45001).</w:t>
      </w:r>
    </w:p>
    <w:p>
      <w:pPr>
        <w:numPr>
          <w:ilvl w:val="0"/>
          <w:numId w:val="1001"/>
        </w:numPr>
        <w:pStyle w:val="Compact"/>
      </w:pPr>
      <w:r>
        <w:t xml:space="preserve">Stakeholder communication, including weekly progress reports to the client's board and monthly executive summaries.</w:t>
      </w:r>
    </w:p>
    <w:p>
      <w:pPr>
        <w:numPr>
          <w:ilvl w:val="0"/>
          <w:numId w:val="1001"/>
        </w:numPr>
        <w:pStyle w:val="Compact"/>
      </w:pPr>
      <w:r>
        <w:t xml:space="preserve">Risk identification, mitigation planning, and issue escalation management throughout the project lifecycle.</w:t>
      </w:r>
    </w:p>
    <w:p>
      <w:pPr>
        <w:numPr>
          <w:ilvl w:val="0"/>
          <w:numId w:val="1001"/>
        </w:numPr>
        <w:pStyle w:val="Compact"/>
      </w:pPr>
      <w:r>
        <w:t xml:space="preserve">Procurement support, tender evaluation, and contract administration for all construction packages.</w:t>
      </w:r>
    </w:p>
    <w:p>
      <w:pPr>
        <w:numPr>
          <w:ilvl w:val="0"/>
          <w:numId w:val="1001"/>
        </w:numPr>
        <w:pStyle w:val="Compact"/>
      </w:pPr>
      <w:r>
        <w:t xml:space="preserve">Health, safety, and environmental (HSE) compliance monitoring in accordance with Kuwaiti labor law and OSHA-equivalent standards.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Project Manager – Monthly Professional Fee (full-time on-site presence in Kuwait Kuwait City, 5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Initiation &amp; Planning Phase (feasibility review, WBS development, baseline schedule)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 &amp; Tender Management Support (RFP preparation, bid evaluation, contract negotiation)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Phase Supervision &amp; Coordination (site visits, progress tracking, change order management)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Commissioning, Handover &amp; Closeout (punch-list management, as-built documentation, final reporting)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Transportation within Kuwait Kuwait City (monthly allowance)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&amp; Tools License (Primavera P6, MS Project, Procore – annual subscription)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Overhead Costs (office support, document control, insurance)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188,100.00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5% (Kuwait – currently exempt for professional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188,100.00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accordance with the following milestone-based schedule. All invoices shall be submitted to the client's accounts department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and are payable within thirty (30) days of receipt of a valid invoice: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1 – Mobilization (10%):</w:t>
      </w:r>
      <w:r>
        <w:t xml:space="preserve"> </w:t>
      </w:r>
      <w:r>
        <w:t xml:space="preserve">KWD 18,810.00 – Due upon contract execution and commencement of the Project Initiation phase.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2 – Planning Complete (15%):</w:t>
      </w:r>
      <w:r>
        <w:t xml:space="preserve"> </w:t>
      </w:r>
      <w:r>
        <w:t xml:space="preserve">KWD 28,215.00 – Due upon approval of the baseline schedule and WBS by the client.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3 – Procurement Complete (20%):</w:t>
      </w:r>
      <w:r>
        <w:t xml:space="preserve"> </w:t>
      </w:r>
      <w:r>
        <w:t xml:space="preserve">KWD 37,620.00 – Due upon award of all major construction packages.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4 – 50% Construction Progress (25%):</w:t>
      </w:r>
      <w:r>
        <w:t xml:space="preserve"> </w:t>
      </w:r>
      <w:r>
        <w:t xml:space="preserve">KWD 47,025.00 – Due upon verified 50% physical completion of the construction phase.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5 – Substantial Completion (20%):</w:t>
      </w:r>
      <w:r>
        <w:t xml:space="preserve"> </w:t>
      </w:r>
      <w:r>
        <w:t xml:space="preserve">KWD 37,620.00 – Due upon issuance of the Taking-Over Certificate.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6 – Final Handover (10%):</w:t>
      </w:r>
      <w:r>
        <w:t xml:space="preserve"> </w:t>
      </w:r>
      <w:r>
        <w:t xml:space="preserve">KWD 18,810.00 – Due upon final closeout, as-built delivery, and release of all retention.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non-binding until formally accepted in writing by both parties and converted into a definitive service agreement.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be engaged on a full-time, exclusive basis for the duration of the project and shall not undertake concurrent assignments without prior written consent from the client.</w:t>
      </w:r>
    </w:p>
    <w:p>
      <w:pPr>
        <w:numPr>
          <w:ilvl w:val="0"/>
          <w:numId w:val="1003"/>
        </w:numPr>
        <w:pStyle w:val="Compact"/>
      </w:pPr>
      <w:r>
        <w:t xml:space="preserve">All work shall be performed in compliance with the laws of the State of Kuwait, including but not limited to the Kuwaiti Labor Law (Law No. 6 of 2010) and applicable municipal regulations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maintain professional indemnity insurance with a minimum coverage of KWD 500,000 for the duration of the engagement.</w:t>
      </w:r>
    </w:p>
    <w:p>
      <w:pPr>
        <w:numPr>
          <w:ilvl w:val="0"/>
          <w:numId w:val="1003"/>
        </w:numPr>
        <w:pStyle w:val="Compact"/>
      </w:pPr>
      <w:r>
        <w:t xml:space="preserve">Any change in scope beyond the originally defined project boundaries shall be subject to a formal variation order and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Meridian Project Consulting LLC.</w:t>
      </w:r>
    </w:p>
    <w:p>
      <w:pPr>
        <w:numPr>
          <w:ilvl w:val="0"/>
          <w:numId w:val="1003"/>
        </w:numPr>
        <w:pStyle w:val="Compact"/>
      </w:pPr>
      <w:r>
        <w:t xml:space="preserve">Confidentiality: All project data, drawings, and commercial information shall be treated as strictly confidential and shall not be disclosed to third parties without written authorization.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arbitration in accordance with the rules of the Kuwait Disputes Resolution Center, seated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project completion dates; timelines are subject to force majeure events, regulatory approvals, and client-directed changes.</w:t>
      </w:r>
    </w:p>
    <w:bookmarkEnd w:id="25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for the Al Noor Commercial Tower Phase II project in</w:t>
      </w:r>
      <w:r>
        <w:t xml:space="preserve"> </w:t>
      </w:r>
      <w:r>
        <w:t xml:space="preserve">Kuwait Kuwait City</w:t>
      </w:r>
      <w:r>
        <w:t xml:space="preserve">.</w:t>
      </w:r>
    </w:p>
    <w:bookmarkStart w:id="26" w:name="for-meridian-project-consulting-llc"/>
    <w:p>
      <w:pPr>
        <w:pStyle w:val="Heading3"/>
      </w:pPr>
      <w:r>
        <w:t xml:space="preserve">For: Meridian Project Consulting LLC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 &amp; Date</w:t>
      </w:r>
    </w:p>
    <w:bookmarkEnd w:id="26"/>
    <w:bookmarkStart w:id="27" w:name="for-al-noor-development-group-w.l.l."/>
    <w:p>
      <w:pPr>
        <w:pStyle w:val="Heading3"/>
      </w:pPr>
      <w:r>
        <w:t xml:space="preserve">For: Al Noor Development Group W.L.L.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 &amp; Date</w:t>
      </w:r>
    </w:p>
    <w:bookmarkEnd w:id="27"/>
    <w:p>
      <w:pPr>
        <w:pStyle w:val="BodyText"/>
      </w:pPr>
      <w:r>
        <w:t xml:space="preserve">Meridian Project Consulting LLC | Al Hamra Tower, Kuwait City, State of Kuwait</w:t>
      </w:r>
    </w:p>
    <w:p>
      <w:pPr>
        <w:pStyle w:val="BodyText"/>
      </w:pPr>
      <w:r>
        <w:t xml:space="preserve">This Quotation Estimate is valid for 30 days from the date of issue. Please reference Quotation No. QTE-KWT-2025-0487 in all correspondence.</w:t>
      </w:r>
    </w:p>
    <w:p>
      <w:pPr>
        <w:pStyle w:val="BodyText"/>
      </w:pPr>
      <w:r>
        <w:t xml:space="preserve">© 2025 Meridian Project Consulting LLC.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Project Manager Services - Kuwait Kuwait City</dc:title>
  <dc:creator/>
  <dc:language>en</dc:language>
  <cp:keywords/>
  <dcterms:created xsi:type="dcterms:W3CDTF">2026-10-10T04:32:29Z</dcterms:created>
  <dcterms:modified xsi:type="dcterms:W3CDTF">2026-10-10T04:32:29Z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