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Project Manager Services — Malaysia Kuala Lumpur</w:t>
      </w:r>
    </w:p>
    <w:bookmarkEnd w:id="20"/>
    <w:p>
      <w:pPr>
        <w:pStyle w:val="BodyText"/>
      </w:pPr>
      <w:r>
        <w:rPr>
          <w:bCs/>
          <w:b/>
        </w:rPr>
        <w:t xml:space="preserve">Quotation No.:</w:t>
      </w:r>
      <w:r>
        <w:t xml:space="preserve"> </w:t>
      </w:r>
      <w:r>
        <w:t xml:space="preserve">QTE-KL-2025-04782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Apex Consulting Sdn. Bhd.</w:t>
      </w:r>
      <w:r>
        <w:br/>
      </w:r>
      <w:r>
        <w:rPr>
          <w:bCs/>
          <w:b/>
        </w:rPr>
        <w:t xml:space="preserve">Address:</w:t>
      </w:r>
      <w:r>
        <w:t xml:space="preserve"> </w:t>
      </w:r>
      <w:r>
        <w:t xml:space="preserve">Level 12, Menara KLCC, No. 12, Jalan P. Ramlee, 50250 Kuala Lumpur, Malaysia</w:t>
      </w:r>
      <w:r>
        <w:br/>
      </w:r>
      <w:r>
        <w:rPr>
          <w:bCs/>
          <w:b/>
        </w:rPr>
        <w:t xml:space="preserve">Contact:</w:t>
      </w:r>
      <w:r>
        <w:t xml:space="preserve"> </w:t>
      </w:r>
      <w:r>
        <w:t xml:space="preserve">+60 3-2181 4567 | quotations@apexconsulting.my</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Horizon Development Group Sdn. Bhd.</w:t>
            </w:r>
          </w:p>
        </w:tc>
      </w:tr>
      <w:tr>
        <w:tc>
          <w:tcPr/>
          <w:p>
            <w:pPr>
              <w:pStyle w:val="Compact"/>
              <w:jc w:val="left"/>
            </w:pPr>
            <w:r>
              <w:rPr>
                <w:bCs/>
                <w:b/>
              </w:rPr>
              <w:t xml:space="preserve">Client Address:</w:t>
            </w:r>
          </w:p>
        </w:tc>
        <w:tc>
          <w:tcPr/>
          <w:p>
            <w:pPr>
              <w:pStyle w:val="Compact"/>
              <w:jc w:val="left"/>
            </w:pPr>
            <w:r>
              <w:t xml:space="preserve">Unit 8-03, The Exchange TRX, Persiaran TRX 2, 50350 Kuala Lumpur, Malaysia</w:t>
            </w:r>
          </w:p>
        </w:tc>
      </w:tr>
      <w:tr>
        <w:tc>
          <w:tcPr/>
          <w:p>
            <w:pPr>
              <w:pStyle w:val="Compact"/>
              <w:jc w:val="left"/>
            </w:pPr>
            <w:r>
              <w:rPr>
                <w:bCs/>
                <w:b/>
              </w:rPr>
              <w:t xml:space="preserve">Attention:</w:t>
            </w:r>
          </w:p>
        </w:tc>
        <w:tc>
          <w:tcPr/>
          <w:p>
            <w:pPr>
              <w:pStyle w:val="Compact"/>
              <w:jc w:val="left"/>
            </w:pPr>
            <w:r>
              <w:t xml:space="preserve">Mr. Tan Wei Ming, Director of Operations</w:t>
            </w:r>
          </w:p>
        </w:tc>
      </w:tr>
      <w:tr>
        <w:tc>
          <w:tcPr/>
          <w:p>
            <w:pPr>
              <w:pStyle w:val="Compact"/>
              <w:jc w:val="left"/>
            </w:pPr>
            <w:r>
              <w:rPr>
                <w:bCs/>
                <w:b/>
              </w:rPr>
              <w:t xml:space="preserve">Project Reference:</w:t>
            </w:r>
          </w:p>
        </w:tc>
        <w:tc>
          <w:tcPr/>
          <w:p>
            <w:pPr>
              <w:pStyle w:val="Compact"/>
              <w:jc w:val="left"/>
            </w:pPr>
            <w:r>
              <w:t xml:space="preserve">HRD-PM-2025-0031 — Senior Project Manager Engagement for Mixed-Use Development</w:t>
            </w:r>
          </w:p>
        </w:tc>
      </w:tr>
    </w:tbl>
    <w:p>
      <w:pPr>
        <w:pStyle w:val="BodyText"/>
      </w:pPr>
      <w:r>
        <w:t xml:space="preserve">2. Scope of Services — Project Manager Engagement</w:t>
      </w:r>
    </w:p>
    <w:p>
      <w:pPr>
        <w:pStyle w:val="BodyText"/>
      </w:pPr>
      <w:r>
        <w:t xml:space="preserve">This</w:t>
      </w:r>
      <w:r>
        <w:t xml:space="preserve"> </w:t>
      </w:r>
      <w:r>
        <w:t xml:space="preserve">Quotation Estimate</w:t>
      </w:r>
      <w:r>
        <w:t xml:space="preserve"> </w:t>
      </w:r>
      <w:r>
        <w:t xml:space="preserve">is issued by Apex Consulting Sdn. Bhd. to provide a comprehensive and itemised cost breakdown for the engagement of a dedicated</w:t>
      </w:r>
      <w:r>
        <w:t xml:space="preserve"> </w:t>
      </w:r>
      <w:r>
        <w:t xml:space="preserve">Project Manager</w:t>
      </w:r>
      <w:r>
        <w:t xml:space="preserve"> </w:t>
      </w:r>
      <w:r>
        <w:t xml:space="preserve">to oversee and deliver the Horizon Development Group mixed-use commercial and residential project located in the heart of</w:t>
      </w:r>
      <w:r>
        <w:t xml:space="preserve"> </w:t>
      </w:r>
      <w:r>
        <w:t xml:space="preserve">Malaysia Kuala Lumpur</w:t>
      </w:r>
      <w:r>
        <w:t xml:space="preserve">. The Project Manager will be responsible for end-to-end project delivery, including but not limited to stakeholder coordination, schedule management, budget control, risk mitigation, quality assurance, and compliance with all applicable Malaysian construction and development regulations as enforced by the Department of Town and Country Planning (JKR) and the Kuala Lumpur City Hall (DBKL).</w:t>
      </w:r>
    </w:p>
    <w:p>
      <w:pPr>
        <w:pStyle w:val="BodyText"/>
      </w:pPr>
      <w:r>
        <w:t xml:space="preserve">The Project Manager will operate on-site in Malaysia Kuala Lumpur for a minimum of five (5) working days per week, with the remaining time allocated to off-site coordination, reporting, and vendor management. The engagement period is estimated at twenty-four (24) months, commencing from the date of contract execution.</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Senior Project Manager monthly retainer (including on-site presence in Malaysia Kuala Lumpur, project planning, Gantt chart development, and weekly progress reporting)</w:t>
            </w:r>
          </w:p>
        </w:tc>
        <w:tc>
          <w:tcPr/>
          <w:p>
            <w:pPr>
              <w:pStyle w:val="Compact"/>
              <w:jc w:val="left"/>
            </w:pPr>
            <w:r>
              <w:t xml:space="preserve">24 months</w:t>
            </w:r>
          </w:p>
        </w:tc>
        <w:tc>
          <w:tcPr/>
          <w:p>
            <w:pPr>
              <w:pStyle w:val="Compact"/>
              <w:jc w:val="left"/>
            </w:pPr>
            <w:r>
              <w:t xml:space="preserve">38,500.00</w:t>
            </w:r>
          </w:p>
        </w:tc>
        <w:tc>
          <w:tcPr/>
          <w:p>
            <w:pPr>
              <w:pStyle w:val="Compact"/>
              <w:jc w:val="left"/>
            </w:pPr>
            <w:r>
              <w:t xml:space="preserve">924,000.00</w:t>
            </w:r>
          </w:p>
        </w:tc>
      </w:tr>
      <w:tr>
        <w:tc>
          <w:tcPr/>
          <w:p>
            <w:pPr>
              <w:pStyle w:val="Compact"/>
              <w:jc w:val="left"/>
            </w:pPr>
            <w:r>
              <w:t xml:space="preserve">2</w:t>
            </w:r>
          </w:p>
        </w:tc>
        <w:tc>
          <w:tcPr/>
          <w:p>
            <w:pPr>
              <w:pStyle w:val="Compact"/>
              <w:jc w:val="left"/>
            </w:pPr>
            <w:r>
              <w:t xml:space="preserve">Project Manager travel and local transportation within the Kuala Lumpur metropolitan area (including site visits to DBKL, JKR, and vendor offices)</w:t>
            </w:r>
          </w:p>
        </w:tc>
        <w:tc>
          <w:tcPr/>
          <w:p>
            <w:pPr>
              <w:pStyle w:val="Compact"/>
              <w:jc w:val="left"/>
            </w:pPr>
            <w:r>
              <w:t xml:space="preserve">24 months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3</w:t>
            </w:r>
          </w:p>
        </w:tc>
        <w:tc>
          <w:tcPr/>
          <w:p>
            <w:pPr>
              <w:pStyle w:val="Compact"/>
              <w:jc w:val="left"/>
            </w:pPr>
            <w:r>
              <w:t xml:space="preserve">Project risk assessment and mitigation strategy development (quarterly deliverables specific to Malaysia Kuala Lumpur regulatory environment)</w:t>
            </w:r>
          </w:p>
        </w:tc>
        <w:tc>
          <w:tcPr/>
          <w:p>
            <w:pPr>
              <w:pStyle w:val="Compact"/>
              <w:jc w:val="left"/>
            </w:pPr>
            <w:r>
              <w:t xml:space="preserve">8 quarters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Stakeholder and vendor coordination management (including coordination with Malaysian contractors, architects, and government agencies in Kuala Lumpur)</w:t>
            </w:r>
          </w:p>
        </w:tc>
        <w:tc>
          <w:tcPr/>
          <w:p>
            <w:pPr>
              <w:pStyle w:val="Compact"/>
              <w:jc w:val="left"/>
            </w:pPr>
            <w:r>
              <w:t xml:space="preserve">24 months</w:t>
            </w:r>
          </w:p>
        </w:tc>
        <w:tc>
          <w:tcPr/>
          <w:p>
            <w:pPr>
              <w:pStyle w:val="Compact"/>
              <w:jc w:val="left"/>
            </w:pPr>
            <w:r>
              <w:t xml:space="preserve">5,500.00</w:t>
            </w:r>
          </w:p>
        </w:tc>
        <w:tc>
          <w:tcPr/>
          <w:p>
            <w:pPr>
              <w:pStyle w:val="Compact"/>
              <w:jc w:val="left"/>
            </w:pPr>
            <w:r>
              <w:t xml:space="preserve">132,000.00</w:t>
            </w:r>
          </w:p>
        </w:tc>
      </w:tr>
      <w:tr>
        <w:tc>
          <w:tcPr/>
          <w:p>
            <w:pPr>
              <w:pStyle w:val="Compact"/>
              <w:jc w:val="left"/>
            </w:pPr>
            <w:r>
              <w:t xml:space="preserve">5</w:t>
            </w:r>
          </w:p>
        </w:tc>
        <w:tc>
          <w:tcPr/>
          <w:p>
            <w:pPr>
              <w:pStyle w:val="Compact"/>
              <w:jc w:val="left"/>
            </w:pPr>
            <w:r>
              <w:t xml:space="preserve">Project documentation, change order management, and final handover report preparation</w:t>
            </w:r>
          </w:p>
        </w:tc>
        <w:tc>
          <w:tcPr/>
          <w:p>
            <w:pPr>
              <w:pStyle w:val="Compact"/>
              <w:jc w:val="left"/>
            </w:pPr>
            <w:r>
              <w:t xml:space="preserve">Lump sum</w:t>
            </w:r>
          </w:p>
        </w:tc>
        <w:tc>
          <w:tcPr/>
          <w:p>
            <w:pPr>
              <w:pStyle w:val="Compact"/>
              <w:jc w:val="left"/>
            </w:pPr>
            <w:r>
              <w:t xml:space="preserve">1.00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Project Manager professional indemnity insurance and statutory employer contributions (EPF, SOCSO, EIS) as required under Malaysian labour law</w:t>
            </w:r>
          </w:p>
        </w:tc>
        <w:tc>
          <w:tcPr/>
          <w:p>
            <w:pPr>
              <w:pStyle w:val="Compact"/>
              <w:jc w:val="left"/>
            </w:pPr>
            <w:r>
              <w:t xml:space="preserve">24 months</w:t>
            </w:r>
          </w:p>
        </w:tc>
        <w:tc>
          <w:tcPr/>
          <w:p>
            <w:pPr>
              <w:pStyle w:val="Compact"/>
              <w:jc w:val="left"/>
            </w:pPr>
            <w:r>
              <w:t xml:space="preserve">4,800.00</w:t>
            </w:r>
          </w:p>
        </w:tc>
        <w:tc>
          <w:tcPr/>
          <w:p>
            <w:pPr>
              <w:pStyle w:val="Compact"/>
              <w:jc w:val="left"/>
            </w:pPr>
            <w:r>
              <w:t xml:space="preserve">115,200.00</w:t>
            </w:r>
          </w:p>
        </w:tc>
      </w:tr>
      <w:tr>
        <w:tc>
          <w:tcPr/>
          <w:p>
            <w:pPr>
              <w:pStyle w:val="Compact"/>
              <w:jc w:val="left"/>
            </w:pPr>
            <w:r>
              <w:t xml:space="preserve">7</w:t>
            </w:r>
          </w:p>
        </w:tc>
        <w:tc>
          <w:tcPr/>
          <w:p>
            <w:pPr>
              <w:pStyle w:val="Compact"/>
              <w:jc w:val="left"/>
            </w:pPr>
            <w:r>
              <w:t xml:space="preserve">Project management software licensing (Primavera P6, MS Project, and collaboration tools) allocated to the Project Manager</w:t>
            </w:r>
          </w:p>
        </w:tc>
        <w:tc>
          <w:tcPr/>
          <w:p>
            <w:pPr>
              <w:pStyle w:val="Compact"/>
              <w:jc w:val="left"/>
            </w:pPr>
            <w:r>
              <w:t xml:space="preserve">24 months</w:t>
            </w:r>
          </w:p>
        </w:tc>
        <w:tc>
          <w:tcPr/>
          <w:p>
            <w:pPr>
              <w:pStyle w:val="Compact"/>
              <w:jc w:val="left"/>
            </w:pPr>
            <w:r>
              <w:t xml:space="preserve">1,850.00</w:t>
            </w:r>
          </w:p>
        </w:tc>
        <w:tc>
          <w:tcPr/>
          <w:p>
            <w:pPr>
              <w:pStyle w:val="Compact"/>
              <w:jc w:val="left"/>
            </w:pPr>
            <w:r>
              <w:t xml:space="preserve">44,400.00</w:t>
            </w:r>
          </w:p>
        </w:tc>
      </w:tr>
      <w:tr>
        <w:tc>
          <w:tcPr>
            <w:gridSpan w:val="4"/>
          </w:tcPr>
          <w:p>
            <w:pPr>
              <w:pStyle w:val="Compact"/>
              <w:jc w:val="right"/>
            </w:pPr>
            <w:r>
              <w:t xml:space="preserve">Subtotal (MYR):</w:t>
            </w:r>
          </w:p>
        </w:tc>
        <w:tc>
          <w:tcPr/>
          <w:p>
            <w:pPr>
              <w:pStyle w:val="Compact"/>
              <w:jc w:val="left"/>
            </w:pPr>
            <w:r>
              <w:t xml:space="preserve">1,433,400.00</w:t>
            </w:r>
          </w:p>
        </w:tc>
      </w:tr>
      <w:tr>
        <w:tc>
          <w:tcPr>
            <w:gridSpan w:val="4"/>
          </w:tcPr>
          <w:p>
            <w:pPr>
              <w:pStyle w:val="Compact"/>
              <w:jc w:val="right"/>
            </w:pPr>
            <w:r>
              <w:t xml:space="preserve">Sales and Service Tax (SST) @ 8%:</w:t>
            </w:r>
          </w:p>
        </w:tc>
        <w:tc>
          <w:tcPr/>
          <w:p>
            <w:pPr>
              <w:pStyle w:val="Compact"/>
              <w:jc w:val="left"/>
            </w:pPr>
            <w:r>
              <w:t xml:space="preserve">114,672.00</w:t>
            </w:r>
          </w:p>
        </w:tc>
      </w:tr>
      <w:tr>
        <w:tc>
          <w:tcPr>
            <w:gridSpan w:val="4"/>
          </w:tcPr>
          <w:p>
            <w:pPr>
              <w:pStyle w:val="Compact"/>
              <w:jc w:val="right"/>
            </w:pPr>
            <w:r>
              <w:t xml:space="preserve">TOTAL ESTIMATED COST (MYR):</w:t>
            </w:r>
          </w:p>
        </w:tc>
        <w:tc>
          <w:tcPr/>
          <w:p>
            <w:pPr>
              <w:pStyle w:val="Compact"/>
              <w:jc w:val="left"/>
            </w:pPr>
            <w:r>
              <w:t xml:space="preserve">1,548,072.00</w:t>
            </w:r>
          </w:p>
        </w:tc>
      </w:tr>
    </w:tbl>
    <w:p>
      <w:pPr>
        <w:pStyle w:val="BodyText"/>
      </w:pPr>
      <w:r>
        <w:t xml:space="preserve">4. Terms and Conditions</w:t>
      </w:r>
    </w:p>
    <w:p>
      <w:pPr>
        <w:numPr>
          <w:ilvl w:val="0"/>
          <w:numId w:val="1001"/>
        </w:numPr>
        <w:pStyle w:val="Compact"/>
      </w:pPr>
      <w:r>
        <w:t xml:space="preserve">This Quotation Estimate is valid for thirty (30) calendar days from the date of issue. Beyond this period, pricing may be subject to revision based on prevailing market conditions in Malaysia Kuala Lumpur.</w:t>
      </w:r>
    </w:p>
    <w:p>
      <w:pPr>
        <w:numPr>
          <w:ilvl w:val="0"/>
          <w:numId w:val="1001"/>
        </w:numPr>
        <w:pStyle w:val="Compact"/>
      </w:pPr>
      <w:r>
        <w:t xml:space="preserve">All amounts stated in this Quotation Estimate are in Malaysian Ringgit (MYR) and are inclusive of all applicable local taxes unless otherwise specified.</w:t>
      </w:r>
    </w:p>
    <w:p>
      <w:pPr>
        <w:numPr>
          <w:ilvl w:val="0"/>
          <w:numId w:val="1001"/>
        </w:numPr>
        <w:pStyle w:val="Compact"/>
      </w:pPr>
      <w:r>
        <w:t xml:space="preserve">Payment terms: 30% advance payment upon contract signing; 60% payable in equal monthly instalments aligned with the Project Manager's monthly retainer; 10% payable upon successful project handover and final acceptance.</w:t>
      </w:r>
    </w:p>
    <w:p>
      <w:pPr>
        <w:numPr>
          <w:ilvl w:val="0"/>
          <w:numId w:val="1001"/>
        </w:numPr>
        <w:pStyle w:val="Compact"/>
      </w:pPr>
      <w:r>
        <w:t xml:space="preserve">The Project Manager shall adhere to all professional codes of conduct as set by the Malaysian Institute of Project Management (MIoPM) and shall maintain full compliance with the Employment Act 1955 and all relevant Malaysian labour regulations.</w:t>
      </w:r>
    </w:p>
    <w:p>
      <w:pPr>
        <w:numPr>
          <w:ilvl w:val="0"/>
          <w:numId w:val="1001"/>
        </w:numPr>
        <w:pStyle w:val="Compact"/>
      </w:pPr>
      <w:r>
        <w:t xml:space="preserve">Any scope changes or additional services beyond the defined scope in this Quotation Estimate shall be subject to a separate written amendment and additional cost approval by the Client.</w:t>
      </w:r>
    </w:p>
    <w:p>
      <w:pPr>
        <w:numPr>
          <w:ilvl w:val="0"/>
          <w:numId w:val="1001"/>
        </w:numPr>
        <w:pStyle w:val="Compact"/>
      </w:pPr>
      <w:r>
        <w:t xml:space="preserve">Apex Consulting Sdn. Bhd. reserves the right to substitute the assigned Project Manager with a candidate of equivalent or superior qualifications, subject to prior written notification to the Client.</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Disputes arising from this engagement shall be resolved through mediation in Kuala Lumpur, Malaysia, in accordance with the Mediation Act 2012 of Malaysia.</w:t>
      </w:r>
    </w:p>
    <w:p>
      <w:pPr>
        <w:pStyle w:val="FirstParagraph"/>
      </w:pPr>
      <w:r>
        <w:t xml:space="preserve">5. Acceptance and Authorisation</w:t>
      </w:r>
    </w:p>
    <w:p>
      <w:pPr>
        <w:pStyle w:val="BodyText"/>
      </w:pPr>
      <w:r>
        <w:t xml:space="preserve">By signing below, the Client acknowledges receipt of this Quotation Estimate for Project Manager services in Malaysia Kuala Lumpur and agrees to the terms, conditions, and pricing outlined herein. This acceptance shall serve as the basis for the preparation of a formal Service Agreement between both parties.</w:t>
      </w:r>
    </w:p>
    <w:bookmarkStart w:id="21" w:name="Xf1112e3af10ae4455a902a9034f07124c462c60"/>
    <w:p>
      <w:pPr>
        <w:pStyle w:val="Heading4"/>
      </w:pPr>
      <w:r>
        <w:t xml:space="preserve">For and on behalf of Apex Consulting Sdn. Bhd. (Provider)</w:t>
      </w:r>
    </w:p>
    <w:p>
      <w:pPr>
        <w:pStyle w:val="FirstParagraph"/>
      </w:pPr>
      <w:r>
        <w:t xml:space="preserve">Name:</w:t>
      </w:r>
      <w:r>
        <w:t xml:space="preserve"> </w:t>
      </w:r>
      <w:r>
        <w:rPr>
          <w:bCs/>
          <w:b/>
        </w:rPr>
        <w:t xml:space="preserve">Lim Siew Lan</w:t>
      </w:r>
      <w:r>
        <w:br/>
      </w:r>
      <w:r>
        <w:t xml:space="preserve">Designation: Managing Director</w:t>
      </w:r>
    </w:p>
    <w:p>
      <w:pPr>
        <w:pStyle w:val="BodyText"/>
      </w:pPr>
      <w:r>
        <w:t xml:space="preserve">Signature &amp; Date</w:t>
      </w:r>
    </w:p>
    <w:bookmarkEnd w:id="21"/>
    <w:bookmarkStart w:id="22" w:name="Xfe90875b19bdbe18700f70faa4b300bb7a25eca"/>
    <w:p>
      <w:pPr>
        <w:pStyle w:val="Heading4"/>
      </w:pPr>
      <w:r>
        <w:t xml:space="preserve">For and on behalf of Horizon Development Group Sdn. Bhd. (Client)</w:t>
      </w:r>
    </w:p>
    <w:p>
      <w:pPr>
        <w:pStyle w:val="FirstParagraph"/>
      </w:pPr>
      <w:r>
        <w:t xml:space="preserve">Name:</w:t>
      </w:r>
      <w:r>
        <w:t xml:space="preserve"> </w:t>
      </w:r>
      <w:r>
        <w:rPr>
          <w:bCs/>
          <w:b/>
        </w:rPr>
        <w:t xml:space="preserve">Tan Wei Ming</w:t>
      </w:r>
      <w:r>
        <w:br/>
      </w:r>
      <w:r>
        <w:t xml:space="preserve">Designation: Director of Operations</w:t>
      </w:r>
    </w:p>
    <w:p>
      <w:pPr>
        <w:pStyle w:val="BodyText"/>
      </w:pPr>
      <w:r>
        <w:t xml:space="preserve">Signature &amp; Date</w:t>
      </w:r>
    </w:p>
    <w:bookmarkEnd w:id="22"/>
    <w:p>
      <w:pPr>
        <w:pStyle w:val="BodyText"/>
      </w:pPr>
      <w:r>
        <w:t xml:space="preserve">Apex Consulting Sdn. Bhd. | Registration No. 201001045678 (K) | Kuala Lumpur, Malaysia</w:t>
      </w:r>
    </w:p>
    <w:p>
      <w:pPr>
        <w:pStyle w:val="BodyText"/>
      </w:pPr>
      <w:r>
        <w:t xml:space="preserve">This Quotation Estimate document is confidential and intended solely for the named Client. Unauthorised reproduction or distribution is prohibited.</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Malaysia Kuala Lumpur</dc:title>
  <dc:creator/>
  <dc:language>en</dc:language>
  <cp:keywords/>
  <dcterms:created xsi:type="dcterms:W3CDTF">2026-10-10T01:06:27Z</dcterms:created>
  <dcterms:modified xsi:type="dcterms:W3CDTF">2026-10-10T01:06:27Z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