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quotation-estimate"/>
    <w:p>
      <w:pPr>
        <w:pStyle w:val="Heading1"/>
      </w:pPr>
      <w:r>
        <w:t xml:space="preserve">QUOTATION ESTIMATE</w:t>
      </w:r>
    </w:p>
    <w:p>
      <w:pPr>
        <w:pStyle w:val="FirstParagraph"/>
      </w:pPr>
      <w:r>
        <w:t xml:space="preserve">Professional Project Manager Services — Nepal Kathmandu</w:t>
      </w:r>
    </w:p>
    <w:p>
      <w:pPr>
        <w:pStyle w:val="BodyText"/>
      </w:pPr>
      <w:r>
        <w:t xml:space="preserve">Ref: QE/PM/KTM/2025/0047</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Quotation No.:</w:t>
      </w:r>
      <w:r>
        <w:t xml:space="preserve"> </w:t>
      </w:r>
      <w:r>
        <w:t xml:space="preserve">QE/PM/KTM/2025/0047</w:t>
      </w:r>
    </w:p>
    <w:p>
      <w:pPr>
        <w:pStyle w:val="BodyText"/>
      </w:pPr>
      <w:r>
        <w:rPr>
          <w:bCs/>
          <w:b/>
        </w:rPr>
        <w:t xml:space="preserve">Prepared By:</w:t>
      </w:r>
      <w:r>
        <w:t xml:space="preserve"> </w:t>
      </w:r>
      <w:r>
        <w:t xml:space="preserve">Himalayan Project Solutions Pvt. Ltd.</w:t>
      </w:r>
      <w:r>
        <w:br/>
      </w:r>
      <w:r>
        <w:rPr>
          <w:bCs/>
          <w:b/>
        </w:rPr>
        <w:t xml:space="preserve">Address:</w:t>
      </w:r>
      <w:r>
        <w:t xml:space="preserve"> </w:t>
      </w:r>
      <w:r>
        <w:t xml:space="preserve">Baneshwor-10, Kathmandu, Nepal</w:t>
      </w:r>
      <w:r>
        <w:br/>
      </w:r>
      <w:r>
        <w:rPr>
          <w:bCs/>
          <w:b/>
        </w:rPr>
        <w:t xml:space="preserve">Contact:</w:t>
      </w:r>
      <w:r>
        <w:t xml:space="preserve"> </w:t>
      </w:r>
      <w:r>
        <w:t xml:space="preserve">+977-1-4412345 | info@hpsolutions.com.np</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Everest Infrastructure Development Group</w:t>
            </w:r>
          </w:p>
        </w:tc>
      </w:tr>
      <w:tr>
        <w:tc>
          <w:tcPr/>
          <w:p>
            <w:pPr>
              <w:pStyle w:val="Compact"/>
              <w:jc w:val="left"/>
            </w:pPr>
            <w:r>
              <w:rPr>
                <w:bCs/>
                <w:b/>
              </w:rPr>
              <w:t xml:space="preserve">Project Location:</w:t>
            </w:r>
          </w:p>
        </w:tc>
        <w:tc>
          <w:tcPr/>
          <w:p>
            <w:pPr>
              <w:pStyle w:val="Compact"/>
              <w:jc w:val="left"/>
            </w:pPr>
            <w:r>
              <w:t xml:space="preserve">Kathmandu Valley, Nepal</w:t>
            </w:r>
          </w:p>
        </w:tc>
      </w:tr>
      <w:tr>
        <w:tc>
          <w:tcPr/>
          <w:p>
            <w:pPr>
              <w:pStyle w:val="Compact"/>
              <w:jc w:val="left"/>
            </w:pPr>
            <w:r>
              <w:rPr>
                <w:bCs/>
                <w:b/>
              </w:rPr>
              <w:t xml:space="preserve">Project Title:</w:t>
            </w:r>
          </w:p>
        </w:tc>
        <w:tc>
          <w:tcPr/>
          <w:p>
            <w:pPr>
              <w:pStyle w:val="Compact"/>
              <w:jc w:val="left"/>
            </w:pPr>
            <w:r>
              <w:t xml:space="preserve">Multi-Phase Commercial Building Construction &amp; IT Integration</w:t>
            </w:r>
          </w:p>
        </w:tc>
      </w:tr>
      <w:tr>
        <w:tc>
          <w:tcPr/>
          <w:p>
            <w:pPr>
              <w:pStyle w:val="Compact"/>
              <w:jc w:val="left"/>
            </w:pPr>
            <w:r>
              <w:rPr>
                <w:bCs/>
                <w:b/>
              </w:rPr>
              <w:t xml:space="preserve">Duration:</w:t>
            </w:r>
          </w:p>
        </w:tc>
        <w:tc>
          <w:tcPr/>
          <w:p>
            <w:pPr>
              <w:pStyle w:val="Compact"/>
              <w:jc w:val="left"/>
            </w:pPr>
            <w:r>
              <w:t xml:space="preserve">18 Months (June 2025 – November 2026)</w:t>
            </w:r>
          </w:p>
        </w:tc>
      </w:tr>
    </w:tbl>
    <w:bookmarkEnd w:id="21"/>
    <w:bookmarkStart w:id="22" w:name="X98d2de802d335042e5d503f69772bbc81a70d17"/>
    <w:p>
      <w:pPr>
        <w:pStyle w:val="Heading2"/>
      </w:pPr>
      <w:r>
        <w:t xml:space="preserve">2. Scope of Services — Project Manager Engagement</w:t>
      </w:r>
    </w:p>
    <w:p>
      <w:pPr>
        <w:pStyle w:val="FirstParagraph"/>
      </w:pPr>
      <w:r>
        <w:t xml:space="preserve">This</w:t>
      </w:r>
      <w:r>
        <w:t xml:space="preserve"> </w:t>
      </w:r>
      <w:r>
        <w:t xml:space="preserve">Quotation Estimate</w:t>
      </w:r>
      <w:r>
        <w:t xml:space="preserve"> </w:t>
      </w:r>
      <w:r>
        <w:t xml:space="preserve">is issued by Himalayan Project Solutions Pvt. Ltd. to provide comprehensive</w:t>
      </w:r>
      <w:r>
        <w:t xml:space="preserve"> </w:t>
      </w:r>
      <w:r>
        <w:t xml:space="preserve">Project Manager</w:t>
      </w:r>
      <w:r>
        <w:t xml:space="preserve"> </w:t>
      </w:r>
      <w:r>
        <w:t xml:space="preserve">services for the above-referenced project situated in</w:t>
      </w:r>
      <w:r>
        <w:t xml:space="preserve"> </w:t>
      </w:r>
      <w:r>
        <w:t xml:space="preserve">Nepal Kathmandu</w:t>
      </w:r>
      <w:r>
        <w:t xml:space="preserve">. The appointed Project Manager will be responsible for the end-to-end planning, execution, monitoring, and delivery of the project in full compliance with Nepali building codes, local labor regulations, and international project management standards (PMBOK, PRINCE2).</w:t>
      </w:r>
    </w:p>
    <w:p>
      <w:pPr>
        <w:pStyle w:val="BodyText"/>
      </w:pPr>
      <w:r>
        <w:t xml:space="preserve">The Project Manager will operate out of our Kathmandu office located in Baneshwor and will conduct on-site supervision at the project location in the Kathmandu Valley. All reporting, stakeholder coordination, and governance activities will be conducted in alignment with the client's organizational structure and the regulatory framework of Nepal.</w:t>
      </w:r>
    </w:p>
    <w:bookmarkEnd w:id="22"/>
    <w:bookmarkStart w:id="23" w:name="detailed-breakdown-of-services-and-costs"/>
    <w:p>
      <w:pPr>
        <w:pStyle w:val="Heading2"/>
      </w:pPr>
      <w:r>
        <w:t xml:space="preserve">3. Detailed Breakdown of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Senior Project Manager — Full-time on-site supervision and strategic planning in Kathmandu</w:t>
            </w:r>
          </w:p>
        </w:tc>
        <w:tc>
          <w:tcPr/>
          <w:p>
            <w:pPr>
              <w:pStyle w:val="Compact"/>
              <w:jc w:val="left"/>
            </w:pPr>
            <w:r>
              <w:t xml:space="preserve">18 Months</w:t>
            </w:r>
          </w:p>
        </w:tc>
        <w:tc>
          <w:tcPr/>
          <w:p>
            <w:pPr>
              <w:pStyle w:val="Compact"/>
              <w:jc w:val="left"/>
            </w:pPr>
            <w:r>
              <w:t xml:space="preserve">Monthly</w:t>
            </w:r>
          </w:p>
        </w:tc>
        <w:tc>
          <w:tcPr/>
          <w:p>
            <w:pPr>
              <w:pStyle w:val="Compact"/>
              <w:jc w:val="left"/>
            </w:pPr>
            <w:r>
              <w:t xml:space="preserve">250,000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Project Planning &amp; Scheduling (Gantt charts, WBS, critical path analysis)</w:t>
            </w:r>
          </w:p>
        </w:tc>
        <w:tc>
          <w:tcPr/>
          <w:p>
            <w:pPr>
              <w:pStyle w:val="Compact"/>
              <w:jc w:val="left"/>
            </w:pPr>
            <w:r>
              <w:t xml:space="preserve">2 Months</w:t>
            </w:r>
          </w:p>
        </w:tc>
        <w:tc>
          <w:tcPr/>
          <w:p>
            <w:pPr>
              <w:pStyle w:val="Compact"/>
              <w:jc w:val="left"/>
            </w:pPr>
            <w:r>
              <w:t xml:space="preserve">Lump Sum</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Stakeholder Management &amp; Coordination with Nepal government agencies (DoLIDAR, KMC, NEA)</w:t>
            </w:r>
          </w:p>
        </w:tc>
        <w:tc>
          <w:tcPr/>
          <w:p>
            <w:pPr>
              <w:pStyle w:val="Compact"/>
              <w:jc w:val="left"/>
            </w:pPr>
            <w:r>
              <w:t xml:space="preserve">18 Months</w:t>
            </w:r>
          </w:p>
        </w:tc>
        <w:tc>
          <w:tcPr/>
          <w:p>
            <w:pPr>
              <w:pStyle w:val="Compact"/>
              <w:jc w:val="left"/>
            </w:pPr>
            <w:r>
              <w:t xml:space="preserve">Monthly</w:t>
            </w:r>
          </w:p>
        </w:tc>
        <w:tc>
          <w:tcPr/>
          <w:p>
            <w:pPr>
              <w:pStyle w:val="Compact"/>
              <w:jc w:val="left"/>
            </w:pPr>
            <w:r>
              <w:t xml:space="preserve">45,000</w:t>
            </w:r>
          </w:p>
        </w:tc>
        <w:tc>
          <w:tcPr/>
          <w:p>
            <w:pPr>
              <w:pStyle w:val="Compact"/>
              <w:jc w:val="left"/>
            </w:pPr>
            <w:r>
              <w:t xml:space="preserve">810,000</w:t>
            </w:r>
          </w:p>
        </w:tc>
      </w:tr>
      <w:tr>
        <w:tc>
          <w:tcPr/>
          <w:p>
            <w:pPr>
              <w:pStyle w:val="Compact"/>
              <w:jc w:val="left"/>
            </w:pPr>
            <w:r>
              <w:t xml:space="preserve">4</w:t>
            </w:r>
          </w:p>
        </w:tc>
        <w:tc>
          <w:tcPr/>
          <w:p>
            <w:pPr>
              <w:pStyle w:val="Compact"/>
              <w:jc w:val="left"/>
            </w:pPr>
            <w:r>
              <w:t xml:space="preserve">Risk Management &amp; Mitigation Planning (earthquake-resilient construction protocols)</w:t>
            </w:r>
          </w:p>
        </w:tc>
        <w:tc>
          <w:tcPr/>
          <w:p>
            <w:pPr>
              <w:pStyle w:val="Compact"/>
              <w:jc w:val="left"/>
            </w:pPr>
            <w:r>
              <w:t xml:space="preserve">18 Months</w:t>
            </w:r>
          </w:p>
        </w:tc>
        <w:tc>
          <w:tcPr/>
          <w:p>
            <w:pPr>
              <w:pStyle w:val="Compact"/>
              <w:jc w:val="left"/>
            </w:pPr>
            <w:r>
              <w:t xml:space="preserve">Monthly</w:t>
            </w:r>
          </w:p>
        </w:tc>
        <w:tc>
          <w:tcPr/>
          <w:p>
            <w:pPr>
              <w:pStyle w:val="Compact"/>
              <w:jc w:val="left"/>
            </w:pPr>
            <w:r>
              <w:t xml:space="preserve">35,000</w:t>
            </w:r>
          </w:p>
        </w:tc>
        <w:tc>
          <w:tcPr/>
          <w:p>
            <w:pPr>
              <w:pStyle w:val="Compact"/>
              <w:jc w:val="left"/>
            </w:pPr>
            <w:r>
              <w:t xml:space="preserve">630,000</w:t>
            </w:r>
          </w:p>
        </w:tc>
      </w:tr>
      <w:tr>
        <w:tc>
          <w:tcPr/>
          <w:p>
            <w:pPr>
              <w:pStyle w:val="Compact"/>
              <w:jc w:val="left"/>
            </w:pPr>
            <w:r>
              <w:t xml:space="preserve">5</w:t>
            </w:r>
          </w:p>
        </w:tc>
        <w:tc>
          <w:tcPr/>
          <w:p>
            <w:pPr>
              <w:pStyle w:val="Compact"/>
              <w:jc w:val="left"/>
            </w:pPr>
            <w:r>
              <w:t xml:space="preserve">Quality Assurance &amp; Compliance Auditing per Nepal Building Code 2015</w:t>
            </w:r>
          </w:p>
        </w:tc>
        <w:tc>
          <w:tcPr/>
          <w:p>
            <w:pPr>
              <w:pStyle w:val="Compact"/>
              <w:jc w:val="left"/>
            </w:pPr>
            <w:r>
              <w:t xml:space="preserve">18 Months</w:t>
            </w:r>
          </w:p>
        </w:tc>
        <w:tc>
          <w:tcPr/>
          <w:p>
            <w:pPr>
              <w:pStyle w:val="Compact"/>
              <w:jc w:val="left"/>
            </w:pPr>
            <w:r>
              <w:t xml:space="preserve">Monthly</w:t>
            </w:r>
          </w:p>
        </w:tc>
        <w:tc>
          <w:tcPr/>
          <w:p>
            <w:pPr>
              <w:pStyle w:val="Compact"/>
              <w:jc w:val="left"/>
            </w:pPr>
            <w:r>
              <w:t xml:space="preserve">50,000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Procurement &amp; Vendor Management (local and international suppliers)</w:t>
            </w:r>
          </w:p>
        </w:tc>
        <w:tc>
          <w:tcPr/>
          <w:p>
            <w:pPr>
              <w:pStyle w:val="Compact"/>
              <w:jc w:val="left"/>
            </w:pPr>
            <w:r>
              <w:t xml:space="preserve">18 Months</w:t>
            </w:r>
          </w:p>
        </w:tc>
        <w:tc>
          <w:tcPr/>
          <w:p>
            <w:pPr>
              <w:pStyle w:val="Compact"/>
              <w:jc w:val="left"/>
            </w:pPr>
            <w:r>
              <w:t xml:space="preserve">Monthly</w:t>
            </w:r>
          </w:p>
        </w:tc>
        <w:tc>
          <w:tcPr/>
          <w:p>
            <w:pPr>
              <w:pStyle w:val="Compact"/>
              <w:jc w:val="left"/>
            </w:pPr>
            <w:r>
              <w:t xml:space="preserve">40,000</w:t>
            </w:r>
          </w:p>
        </w:tc>
        <w:tc>
          <w:tcPr/>
          <w:p>
            <w:pPr>
              <w:pStyle w:val="Compact"/>
              <w:jc w:val="left"/>
            </w:pPr>
            <w:r>
              <w:t xml:space="preserve">720,000</w:t>
            </w:r>
          </w:p>
        </w:tc>
      </w:tr>
      <w:tr>
        <w:tc>
          <w:tcPr/>
          <w:p>
            <w:pPr>
              <w:pStyle w:val="Compact"/>
              <w:jc w:val="left"/>
            </w:pPr>
            <w:r>
              <w:t xml:space="preserve">7</w:t>
            </w:r>
          </w:p>
        </w:tc>
        <w:tc>
          <w:tcPr/>
          <w:p>
            <w:pPr>
              <w:pStyle w:val="Compact"/>
              <w:jc w:val="left"/>
            </w:pPr>
            <w:r>
              <w:t xml:space="preserve">Budget Control, Cost Tracking &amp; Financial Reporting</w:t>
            </w:r>
          </w:p>
        </w:tc>
        <w:tc>
          <w:tcPr/>
          <w:p>
            <w:pPr>
              <w:pStyle w:val="Compact"/>
              <w:jc w:val="left"/>
            </w:pPr>
            <w:r>
              <w:t xml:space="preserve">18 Months</w:t>
            </w:r>
          </w:p>
        </w:tc>
        <w:tc>
          <w:tcPr/>
          <w:p>
            <w:pPr>
              <w:pStyle w:val="Compact"/>
              <w:jc w:val="left"/>
            </w:pPr>
            <w:r>
              <w:t xml:space="preserve">Monthly</w:t>
            </w:r>
          </w:p>
        </w:tc>
        <w:tc>
          <w:tcPr/>
          <w:p>
            <w:pPr>
              <w:pStyle w:val="Compact"/>
              <w:jc w:val="left"/>
            </w:pPr>
            <w:r>
              <w:t xml:space="preserve">30,000</w:t>
            </w:r>
          </w:p>
        </w:tc>
        <w:tc>
          <w:tcPr/>
          <w:p>
            <w:pPr>
              <w:pStyle w:val="Compact"/>
              <w:jc w:val="left"/>
            </w:pPr>
            <w:r>
              <w:t xml:space="preserve">540,000</w:t>
            </w:r>
          </w:p>
        </w:tc>
      </w:tr>
      <w:tr>
        <w:tc>
          <w:tcPr/>
          <w:p>
            <w:pPr>
              <w:pStyle w:val="Compact"/>
              <w:jc w:val="left"/>
            </w:pPr>
            <w:r>
              <w:t xml:space="preserve">8</w:t>
            </w:r>
          </w:p>
        </w:tc>
        <w:tc>
          <w:tcPr/>
          <w:p>
            <w:pPr>
              <w:pStyle w:val="Compact"/>
              <w:jc w:val="left"/>
            </w:pPr>
            <w:r>
              <w:t xml:space="preserve">IT Systems Integration Oversight (BIM, ERP deployment for construction)</w:t>
            </w:r>
          </w:p>
        </w:tc>
        <w:tc>
          <w:tcPr/>
          <w:p>
            <w:pPr>
              <w:pStyle w:val="Compact"/>
              <w:jc w:val="left"/>
            </w:pPr>
            <w:r>
              <w:t xml:space="preserve">6 Months</w:t>
            </w:r>
          </w:p>
        </w:tc>
        <w:tc>
          <w:tcPr/>
          <w:p>
            <w:pPr>
              <w:pStyle w:val="Compact"/>
              <w:jc w:val="left"/>
            </w:pPr>
            <w:r>
              <w:t xml:space="preserve">Lump Sum</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9</w:t>
            </w:r>
          </w:p>
        </w:tc>
        <w:tc>
          <w:tcPr/>
          <w:p>
            <w:pPr>
              <w:pStyle w:val="Compact"/>
              <w:jc w:val="left"/>
            </w:pPr>
            <w:r>
              <w:t xml:space="preserve">Monthly Progress Reports &amp; Executive Presentations to Client Board</w:t>
            </w:r>
          </w:p>
        </w:tc>
        <w:tc>
          <w:tcPr/>
          <w:p>
            <w:pPr>
              <w:pStyle w:val="Compact"/>
              <w:jc w:val="left"/>
            </w:pPr>
            <w:r>
              <w:t xml:space="preserve">18 Months</w:t>
            </w:r>
          </w:p>
        </w:tc>
        <w:tc>
          <w:tcPr/>
          <w:p>
            <w:pPr>
              <w:pStyle w:val="Compact"/>
              <w:jc w:val="left"/>
            </w:pPr>
            <w:r>
              <w:t xml:space="preserve">Monthly</w:t>
            </w:r>
          </w:p>
        </w:tc>
        <w:tc>
          <w:tcPr/>
          <w:p>
            <w:pPr>
              <w:pStyle w:val="Compact"/>
              <w:jc w:val="left"/>
            </w:pPr>
            <w:r>
              <w:t xml:space="preserve">20,000</w:t>
            </w:r>
          </w:p>
        </w:tc>
        <w:tc>
          <w:tcPr/>
          <w:p>
            <w:pPr>
              <w:pStyle w:val="Compact"/>
              <w:jc w:val="left"/>
            </w:pPr>
            <w:r>
              <w:t xml:space="preserve">360,000</w:t>
            </w:r>
          </w:p>
        </w:tc>
      </w:tr>
      <w:tr>
        <w:tc>
          <w:tcPr/>
          <w:p>
            <w:pPr>
              <w:pStyle w:val="Compact"/>
              <w:jc w:val="left"/>
            </w:pPr>
            <w:r>
              <w:t xml:space="preserve">10</w:t>
            </w:r>
          </w:p>
        </w:tc>
        <w:tc>
          <w:tcPr/>
          <w:p>
            <w:pPr>
              <w:pStyle w:val="Compact"/>
              <w:jc w:val="left"/>
            </w:pPr>
            <w:r>
              <w:t xml:space="preserve">Project Closure, Handover Documentation &amp; Post-Completion Support (3 months)</w:t>
            </w:r>
          </w:p>
        </w:tc>
        <w:tc>
          <w:tcPr/>
          <w:p>
            <w:pPr>
              <w:pStyle w:val="Compact"/>
              <w:jc w:val="left"/>
            </w:pPr>
            <w:r>
              <w:t xml:space="preserve">3 Months</w:t>
            </w:r>
          </w:p>
        </w:tc>
        <w:tc>
          <w:tcPr/>
          <w:p>
            <w:pPr>
              <w:pStyle w:val="Compact"/>
              <w:jc w:val="left"/>
            </w:pPr>
            <w:r>
              <w:t xml:space="preserve">Lump Sum</w:t>
            </w:r>
          </w:p>
        </w:tc>
        <w:tc>
          <w:tcPr/>
          <w:p>
            <w:pPr>
              <w:pStyle w:val="Compact"/>
              <w:jc w:val="left"/>
            </w:pPr>
            <w:r>
              <w:t xml:space="preserve">200,000</w:t>
            </w:r>
          </w:p>
        </w:tc>
        <w:tc>
          <w:tcPr/>
          <w:p>
            <w:pPr>
              <w:pStyle w:val="Compact"/>
              <w:jc w:val="left"/>
            </w:pPr>
            <w:r>
              <w:t xml:space="preserve">200,000</w:t>
            </w:r>
          </w:p>
        </w:tc>
      </w:tr>
      <w:tr>
        <w:tc>
          <w:tcPr>
            <w:gridSpan w:val="5"/>
          </w:tcPr>
          <w:p>
            <w:pPr>
              <w:pStyle w:val="Compact"/>
              <w:jc w:val="right"/>
            </w:pPr>
            <w:r>
              <w:t xml:space="preserve">Subtotal (NPR)</w:t>
            </w:r>
          </w:p>
        </w:tc>
        <w:tc>
          <w:tcPr/>
          <w:p>
            <w:pPr>
              <w:pStyle w:val="Compact"/>
              <w:jc w:val="left"/>
            </w:pPr>
            <w:r>
              <w:t xml:space="preserve">9,190,000</w:t>
            </w:r>
          </w:p>
        </w:tc>
      </w:tr>
      <w:tr>
        <w:tc>
          <w:tcPr>
            <w:gridSpan w:val="5"/>
          </w:tcPr>
          <w:p>
            <w:pPr>
              <w:pStyle w:val="Compact"/>
              <w:jc w:val="right"/>
            </w:pPr>
            <w:r>
              <w:t xml:space="preserve">VAT @ 13% (Nepal)</w:t>
            </w:r>
          </w:p>
        </w:tc>
        <w:tc>
          <w:tcPr/>
          <w:p>
            <w:pPr>
              <w:pStyle w:val="Compact"/>
              <w:jc w:val="left"/>
            </w:pPr>
            <w:r>
              <w:t xml:space="preserve">1,194,700</w:t>
            </w:r>
          </w:p>
        </w:tc>
      </w:tr>
      <w:tr>
        <w:tc>
          <w:tcPr>
            <w:gridSpan w:val="5"/>
          </w:tcPr>
          <w:p>
            <w:pPr>
              <w:pStyle w:val="Compact"/>
              <w:jc w:val="right"/>
            </w:pPr>
            <w:r>
              <w:rPr>
                <w:bCs/>
                <w:b/>
              </w:rPr>
              <w:t xml:space="preserve">TOTAL AMOUNT (NPR)</w:t>
            </w:r>
          </w:p>
        </w:tc>
        <w:tc>
          <w:tcPr/>
          <w:p>
            <w:pPr>
              <w:pStyle w:val="Compact"/>
              <w:jc w:val="left"/>
            </w:pPr>
            <w:r>
              <w:rPr>
                <w:bCs/>
                <w:b/>
              </w:rPr>
              <w:t xml:space="preserve">10,384,700</w:t>
            </w:r>
          </w:p>
        </w:tc>
      </w:tr>
      <w:tr>
        <w:tc>
          <w:tcPr>
            <w:gridSpan w:val="5"/>
          </w:tcPr>
          <w:p>
            <w:pPr>
              <w:pStyle w:val="Compact"/>
              <w:jc w:val="right"/>
            </w:pPr>
            <w:r>
              <w:rPr>
                <w:bCs/>
                <w:b/>
              </w:rPr>
              <w:t xml:space="preserve">Approximate USD Equivalent</w:t>
            </w:r>
          </w:p>
        </w:tc>
        <w:tc>
          <w:tcPr/>
          <w:p>
            <w:pPr>
              <w:pStyle w:val="Compact"/>
              <w:jc w:val="left"/>
            </w:pPr>
            <w:r>
              <w:rPr>
                <w:bCs/>
                <w:b/>
              </w:rPr>
              <w:t xml:space="preserve">~USD 76,500</w:t>
            </w:r>
          </w:p>
        </w:tc>
      </w:tr>
    </w:tbl>
    <w:bookmarkEnd w:id="23"/>
    <w:bookmarkStart w:id="24" w:name="terms-and-conditions"/>
    <w:p>
      <w:pPr>
        <w:pStyle w:val="Heading2"/>
      </w:pPr>
      <w:r>
        <w:t xml:space="preserve">4. Terms and Conditions</w:t>
      </w:r>
    </w:p>
    <w:p>
      <w:pPr>
        <w:pStyle w:val="FirstParagraph"/>
      </w:pPr>
      <w:r>
        <w:rPr>
          <w:bCs/>
          <w:b/>
        </w:rPr>
        <w:t xml:space="preserve">4.1 Payment Schedule:</w:t>
      </w:r>
      <w:r>
        <w:t xml:space="preserve"> </w:t>
      </w:r>
      <w:r>
        <w:t xml:space="preserve">Payment shall be made in monthly installments within 15 days of invoice submission. A 10% advance payment is required upon signing of the service agreement. The final 15% retention shall be released upon successful project handover and client sign-off.</w:t>
      </w:r>
    </w:p>
    <w:p>
      <w:pPr>
        <w:pStyle w:val="BodyText"/>
      </w:pPr>
      <w:r>
        <w:rPr>
          <w:bCs/>
          <w:b/>
        </w:rPr>
        <w:t xml:space="preserve">4.2 Validity:</w:t>
      </w:r>
      <w:r>
        <w:t xml:space="preserve"> </w:t>
      </w:r>
      <w:r>
        <w:t xml:space="preserve">This Quotation Estimate is valid for 30 calendar days from the date of issue. Beyond this period, rates may be revised to reflect market conditions in Nepal Kathmandu.</w:t>
      </w:r>
    </w:p>
    <w:p>
      <w:pPr>
        <w:pStyle w:val="BodyText"/>
      </w:pPr>
      <w:r>
        <w:rPr>
          <w:bCs/>
          <w:b/>
        </w:rPr>
        <w:t xml:space="preserve">4.3 Scope Changes:</w:t>
      </w:r>
      <w:r>
        <w:t xml:space="preserve"> </w:t>
      </w:r>
      <w:r>
        <w:t xml:space="preserve">Any modification to the scope of the Project Manager's responsibilities beyond what is outlined herein shall be subject to a separate change-order Quotation Estimate and mutual written agreement.</w:t>
      </w:r>
    </w:p>
    <w:p>
      <w:pPr>
        <w:pStyle w:val="BodyText"/>
      </w:pPr>
      <w:r>
        <w:rPr>
          <w:bCs/>
          <w:b/>
        </w:rPr>
        <w:t xml:space="preserve">4.4 Termination:</w:t>
      </w:r>
      <w:r>
        <w:t xml:space="preserve"> </w:t>
      </w:r>
      <w:r>
        <w:t xml:space="preserve">Either party may terminate the engagement with 30 days' written notice. In such cases, all services rendered up to the termination date shall be invoiced and paid in full.</w:t>
      </w:r>
    </w:p>
    <w:p>
      <w:pPr>
        <w:pStyle w:val="BodyText"/>
      </w:pPr>
      <w:r>
        <w:rPr>
          <w:bCs/>
          <w:b/>
        </w:rPr>
        <w:t xml:space="preserve">4.5 Confidentiality:</w:t>
      </w:r>
      <w:r>
        <w:t xml:space="preserve"> </w:t>
      </w:r>
      <w:r>
        <w:t xml:space="preserve">The Project Manager and all supporting staff shall maintain strict confidentiality regarding project data, client financials, and proprietary information in accordance with Nepal's data protection regulations.</w:t>
      </w:r>
    </w:p>
    <w:p>
      <w:pPr>
        <w:pStyle w:val="BodyText"/>
      </w:pPr>
      <w:r>
        <w:rPr>
          <w:bCs/>
          <w:b/>
        </w:rPr>
        <w:t xml:space="preserve">4.6 Dispute Resolution:</w:t>
      </w:r>
      <w:r>
        <w:t xml:space="preserve"> </w:t>
      </w:r>
      <w:r>
        <w:t xml:space="preserve">Any disputes arising from this Quotation Estimate shall be resolved through mediation in Kathmandu, Nepal, in accordance with the Nepal Arbitration Act, 1995.</w:t>
      </w:r>
    </w:p>
    <w:p>
      <w:pPr>
        <w:pStyle w:val="BodyText"/>
      </w:pPr>
      <w:r>
        <w:rPr>
          <w:bCs/>
          <w:b/>
        </w:rPr>
        <w:t xml:space="preserve">4.7 Applicable Law:</w:t>
      </w:r>
      <w:r>
        <w:t xml:space="preserve"> </w:t>
      </w:r>
      <w:r>
        <w:t xml:space="preserve">This agreement shall be governed by the laws of the Kingdom of Nepal, with jurisdiction in the courts of Kathmandu.</w:t>
      </w:r>
    </w:p>
    <w:p>
      <w:pPr>
        <w:pStyle w:val="BodyText"/>
      </w:pPr>
      <w:r>
        <w:rPr>
          <w:bCs/>
          <w:b/>
        </w:rPr>
        <w:t xml:space="preserve">Note:</w:t>
      </w:r>
      <w:r>
        <w:t xml:space="preserve"> </w:t>
      </w:r>
      <w:r>
        <w:t xml:space="preserve">All rates quoted in this Quotation Estimate are inclusive of the Project Manager's professional expertise, local transportation within Kathmandu Valley, and standard office resources. Travel to project sites outside the Kathmandu Valley (e.g., Pokhara, Butwal) will be billed separately at actual cost plus 10% handling fee.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this Quotation Estimate for Project Manager services in Nepal Kathmandu. The engagement shall commence upon receipt of the advance payment and execution of the formal Service Agreement.</w:t>
      </w:r>
    </w:p>
    <w:p>
      <w:pPr>
        <w:pStyle w:val="BodyText"/>
      </w:pPr>
      <w:r>
        <w:rPr>
          <w:bCs/>
          <w:b/>
        </w:rPr>
        <w:t xml:space="preserve">For Himalayan Project Solutions Pvt. Ltd.</w:t>
      </w:r>
      <w:r>
        <w:br/>
      </w:r>
      <w:r>
        <w:t xml:space="preserve">Authorized Signatory</w:t>
      </w:r>
      <w:r>
        <w:br/>
      </w:r>
      <w:r>
        <w:t xml:space="preserve">Name: Ramesh Adhikari</w:t>
      </w:r>
      <w:r>
        <w:br/>
      </w:r>
      <w:r>
        <w:t xml:space="preserve">Designation: Managing Director</w:t>
      </w:r>
      <w:r>
        <w:br/>
      </w:r>
      <w:r>
        <w:t xml:space="preserve">Date: _______________</w:t>
      </w:r>
    </w:p>
    <w:p>
      <w:pPr>
        <w:pStyle w:val="BodyText"/>
      </w:pPr>
      <w:r>
        <w:rPr>
          <w:bCs/>
          <w:b/>
        </w:rPr>
        <w:t xml:space="preserve">For Everest Infrastructure Development Group</w:t>
      </w:r>
      <w:r>
        <w:br/>
      </w:r>
      <w:r>
        <w:t xml:space="preserve">Authorized Signatory</w:t>
      </w:r>
      <w:r>
        <w:br/>
      </w:r>
      <w:r>
        <w:t xml:space="preserve">Name: _______________________</w:t>
      </w:r>
      <w:r>
        <w:br/>
      </w:r>
      <w:r>
        <w:t xml:space="preserve">Designation: _______________________</w:t>
      </w:r>
      <w:r>
        <w:br/>
      </w:r>
      <w:r>
        <w:t xml:space="preserve">Date: _______________</w:t>
      </w:r>
    </w:p>
    <w:p>
      <w:pPr>
        <w:pStyle w:val="BodyText"/>
      </w:pPr>
      <w:r>
        <w:t xml:space="preserve">This Quotation Estimate document is the property of Himalayan Project Solutions Pvt. Ltd., Kathmandu, Nepal. Unauthorized reproduction or distribution is prohibited. © 2025 All Rights Reserved.</w:t>
      </w:r>
    </w:p>
    <w:p>
      <w:pPr>
        <w:pStyle w:val="BodyText"/>
      </w:pPr>
      <w:r>
        <w:t xml:space="preserve">Page 1 of 1 | Document ID: QE/PM/KTM/2025/0047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Nepal Kathmandu</dc:title>
  <dc:creator/>
  <dc:language>en</dc:language>
  <cp:keywords/>
  <dcterms:created xsi:type="dcterms:W3CDTF">2026-10-10T02:29:14Z</dcterms:created>
  <dcterms:modified xsi:type="dcterms:W3CDTF">2026-10-10T02:29:14Z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