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Prepared for Clients in New Zealand Wellington</w:t>
      </w:r>
    </w:p>
    <w:bookmarkEnd w:id="20"/>
    <w:p>
      <w:pPr>
        <w:pStyle w:val="BodyText"/>
      </w:pPr>
      <w:r>
        <w:rPr>
          <w:bCs/>
          <w:b/>
        </w:rPr>
        <w:t xml:space="preserve">Quotation Reference:</w:t>
      </w:r>
      <w:r>
        <w:t xml:space="preserve"> </w:t>
      </w:r>
      <w:r>
        <w:t xml:space="preserve">QTE-WLG-2025-0472</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By:</w:t>
      </w:r>
      <w:r>
        <w:t xml:space="preserve"> </w:t>
      </w:r>
      <w:r>
        <w:t xml:space="preserve">Apex Project Solutions Ltd</w:t>
      </w:r>
      <w:r>
        <w:br/>
      </w:r>
      <w:r>
        <w:rPr>
          <w:bCs/>
          <w:b/>
        </w:rPr>
        <w:t xml:space="preserve">Address:</w:t>
      </w:r>
      <w:r>
        <w:t xml:space="preserve"> </w:t>
      </w:r>
      <w:r>
        <w:t xml:space="preserve">14 Cuba Street, Te Aro, Wellington 6011, New Zealand</w:t>
      </w:r>
      <w:r>
        <w:br/>
      </w:r>
      <w:r>
        <w:rPr>
          <w:bCs/>
          <w:b/>
        </w:rPr>
        <w:t xml:space="preserve">Contact:</w:t>
      </w:r>
      <w:r>
        <w:t xml:space="preserve"> </w:t>
      </w:r>
      <w:r>
        <w:t xml:space="preserve">enquiries@apexprojects.co.nz | +64 4 382 7741</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scope, deliverables, and associated costs for engaging a dedicated</w:t>
      </w:r>
      <w:r>
        <w:t xml:space="preserve"> </w:t>
      </w:r>
      <w:r>
        <w:t xml:space="preserve">Project Manager</w:t>
      </w:r>
      <w:r>
        <w:t xml:space="preserve"> </w:t>
      </w:r>
      <w:r>
        <w:t xml:space="preserve">to oversee and deliver a capital infrastructure programme within the greater</w:t>
      </w:r>
      <w:r>
        <w:t xml:space="preserve"> </w:t>
      </w:r>
      <w:r>
        <w:t xml:space="preserve">New Zealand Wellington</w:t>
      </w:r>
      <w:r>
        <w:t xml:space="preserve"> </w:t>
      </w:r>
      <w:r>
        <w:t xml:space="preserve">region. Apex Project Solutions Ltd is a registered New Zealand company (NZBN 9429041234567) specialising in the provision of senior project management consultancy across the capital city and its surrounding districts, including Porirua, Lower Hutt, and the Wairarpa corridor.</w:t>
      </w:r>
    </w:p>
    <w:p>
      <w:pPr>
        <w:pStyle w:val="BodyText"/>
      </w:pPr>
      <w:r>
        <w:t xml:space="preserve">The purpose of this</w:t>
      </w:r>
      <w:r>
        <w:t xml:space="preserve"> </w:t>
      </w:r>
      <w:r>
        <w:t xml:space="preserve">Quotation Estimate</w:t>
      </w:r>
      <w:r>
        <w:t xml:space="preserve"> </w:t>
      </w:r>
      <w:r>
        <w:t xml:space="preserve">is to provide the prospective client with a transparent, itemised breakdown of all professional fees, disbursements, and value-added tax (GST) applicable to the engagement of our</w:t>
      </w:r>
      <w:r>
        <w:t xml:space="preserve"> </w:t>
      </w:r>
      <w:r>
        <w:t xml:space="preserve">Project Manager</w:t>
      </w:r>
      <w:r>
        <w:t xml:space="preserve"> </w:t>
      </w:r>
      <w:r>
        <w:t xml:space="preserve">services. All pricing reflects current market rates for experienced project management professionals operating in</w:t>
      </w:r>
      <w:r>
        <w:t xml:space="preserve"> </w:t>
      </w:r>
      <w:r>
        <w:t xml:space="preserve">New Zealand Wellington</w:t>
      </w:r>
      <w:r>
        <w:t xml:space="preserve"> </w:t>
      </w:r>
      <w:r>
        <w:t xml:space="preserve">as of the date of issue and is subject to the terms and conditions set out in Section 7 of this document.</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will be responsible for the end-to-end delivery of the client's construction and fit-out programme located at 22 Lambton Quay, Wellington Central. The scope encompasses the following key responsibilities:</w:t>
      </w:r>
    </w:p>
    <w:p>
      <w:pPr>
        <w:pStyle w:val="BodyText"/>
      </w:pPr>
      <w:r>
        <w:rPr>
          <w:bCs/>
          <w:b/>
        </w:rPr>
        <w:t xml:space="preserve">2.1</w:t>
      </w:r>
      <w:r>
        <w:t xml:space="preserve"> </w:t>
      </w:r>
      <w:r>
        <w:t xml:space="preserve">Development and maintenance of the master project schedule, work breakdown structure (WBS), and critical path analysis in alignment with the New Zealand Standard for Project Management (NZS 3960:2019).</w:t>
      </w:r>
    </w:p>
    <w:p>
      <w:pPr>
        <w:pStyle w:val="BodyText"/>
      </w:pPr>
      <w:r>
        <w:rPr>
          <w:bCs/>
          <w:b/>
        </w:rPr>
        <w:t xml:space="preserve">2.2</w:t>
      </w:r>
      <w:r>
        <w:t xml:space="preserve"> </w:t>
      </w:r>
      <w:r>
        <w:t xml:space="preserve">Coordination of all design consultants, contractors, and statutory authorities including the Wellington City Council, the Ministry of Business, Innovation and Employment (MBIE), and the New Zealand Transport Agency (Waka Kotahi).</w:t>
      </w:r>
    </w:p>
    <w:p>
      <w:pPr>
        <w:pStyle w:val="BodyText"/>
      </w:pPr>
      <w:r>
        <w:rPr>
          <w:bCs/>
          <w:b/>
        </w:rPr>
        <w:t xml:space="preserve">2.3</w:t>
      </w:r>
      <w:r>
        <w:t xml:space="preserve"> </w:t>
      </w:r>
      <w:r>
        <w:t xml:space="preserve">Preparation and management of the project budget, cost forecasts, variation claims, and monthly financial reporting to the client's board of directors.</w:t>
      </w:r>
    </w:p>
    <w:p>
      <w:pPr>
        <w:pStyle w:val="BodyText"/>
      </w:pPr>
      <w:r>
        <w:rPr>
          <w:bCs/>
          <w:b/>
        </w:rPr>
        <w:t xml:space="preserve">2.4</w:t>
      </w:r>
      <w:r>
        <w:t xml:space="preserve"> </w:t>
      </w:r>
      <w:r>
        <w:t xml:space="preserve">Risk register maintenance, mitigation planning, and escalation of issues in accordance with the project's risk management framework.</w:t>
      </w:r>
    </w:p>
    <w:p>
      <w:pPr>
        <w:pStyle w:val="BodyText"/>
      </w:pPr>
      <w:r>
        <w:rPr>
          <w:bCs/>
          <w:b/>
        </w:rPr>
        <w:t xml:space="preserve">2.5</w:t>
      </w:r>
      <w:r>
        <w:t xml:space="preserve"> </w:t>
      </w:r>
      <w:r>
        <w:t xml:space="preserve">Stakeholder engagement and communication management, including fortnightly progress meetings held at the project site in</w:t>
      </w:r>
      <w:r>
        <w:t xml:space="preserve"> </w:t>
      </w:r>
      <w:r>
        <w:t xml:space="preserve">New Zealand Wellington</w:t>
      </w:r>
      <w:r>
        <w:t xml:space="preserve"> </w:t>
      </w:r>
      <w:r>
        <w:t xml:space="preserve">and monthly executive reporting sessions.</w:t>
      </w:r>
    </w:p>
    <w:p>
      <w:pPr>
        <w:pStyle w:val="BodyText"/>
      </w:pPr>
      <w:r>
        <w:rPr>
          <w:bCs/>
          <w:b/>
        </w:rPr>
        <w:t xml:space="preserve">2.6</w:t>
      </w:r>
      <w:r>
        <w:t xml:space="preserve"> </w:t>
      </w:r>
      <w:r>
        <w:t xml:space="preserve">Quality assurance oversight, compliance with the Building Act 2004, and coordination of all necessary building consents and resource consents from the Wellington Regional Council.</w:t>
      </w:r>
    </w:p>
    <w:bookmarkEnd w:id="22"/>
    <w:bookmarkStart w:id="23" w:name="project-duration-and-milestones"/>
    <w:p>
      <w:pPr>
        <w:pStyle w:val="Heading2"/>
      </w:pPr>
      <w:r>
        <w:t xml:space="preserve">3. Project Duration and Milestones</w:t>
      </w:r>
    </w:p>
    <w:p>
      <w:pPr>
        <w:pStyle w:val="FirstParagraph"/>
      </w:pPr>
      <w:r>
        <w:t xml:space="preserve">The</w:t>
      </w:r>
      <w:r>
        <w:t xml:space="preserve"> </w:t>
      </w:r>
      <w:r>
        <w:t xml:space="preserve">Project Manager</w:t>
      </w:r>
      <w:r>
        <w:t xml:space="preserve"> </w:t>
      </w:r>
      <w:r>
        <w:t xml:space="preserve">engagement is anticipated to span a period of fourteen (14) calendar months, commencing on 1 September 2025 and concluding on 31 October 2026. Key milestones are detailed below: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Project Inception &amp; Mobilisation</w:t>
            </w:r>
          </w:p>
        </w:tc>
        <w:tc>
          <w:tcPr/>
          <w:p>
            <w:pPr>
              <w:pStyle w:val="Compact"/>
              <w:jc w:val="left"/>
            </w:pPr>
            <w:r>
              <w:t xml:space="preserve">September 2025</w:t>
            </w:r>
          </w:p>
        </w:tc>
        <w:tc>
          <w:tcPr/>
          <w:p>
            <w:pPr>
              <w:pStyle w:val="Compact"/>
              <w:jc w:val="left"/>
            </w:pPr>
            <w:r>
              <w:t xml:space="preserve">Project Charter, Risk Register, Communication Plan</w:t>
            </w:r>
          </w:p>
        </w:tc>
      </w:tr>
      <w:tr>
        <w:tc>
          <w:tcPr/>
          <w:p>
            <w:pPr>
              <w:pStyle w:val="Compact"/>
              <w:jc w:val="left"/>
            </w:pPr>
            <w:r>
              <w:t xml:space="preserve">Design &amp; Consent Approval</w:t>
            </w:r>
          </w:p>
        </w:tc>
        <w:tc>
          <w:tcPr/>
          <w:p>
            <w:pPr>
              <w:pStyle w:val="Compact"/>
              <w:jc w:val="left"/>
            </w:pPr>
            <w:r>
              <w:t xml:space="preserve">November 2025</w:t>
            </w:r>
          </w:p>
        </w:tc>
        <w:tc>
          <w:tcPr/>
          <w:p>
            <w:pPr>
              <w:pStyle w:val="Compact"/>
              <w:jc w:val="left"/>
            </w:pPr>
            <w:r>
              <w:t xml:space="preserve">Approved Building Consent, Resource Consent</w:t>
            </w:r>
          </w:p>
        </w:tc>
      </w:tr>
      <w:tr>
        <w:tc>
          <w:tcPr/>
          <w:p>
            <w:pPr>
              <w:pStyle w:val="Compact"/>
              <w:jc w:val="left"/>
            </w:pPr>
            <w:r>
              <w:t xml:space="preserve">Construction Commencement</w:t>
            </w:r>
          </w:p>
        </w:tc>
        <w:tc>
          <w:tcPr/>
          <w:p>
            <w:pPr>
              <w:pStyle w:val="Compact"/>
              <w:jc w:val="left"/>
            </w:pPr>
            <w:r>
              <w:t xml:space="preserve">January 2026</w:t>
            </w:r>
          </w:p>
        </w:tc>
        <w:tc>
          <w:tcPr/>
          <w:p>
            <w:pPr>
              <w:pStyle w:val="Compact"/>
              <w:jc w:val="left"/>
            </w:pPr>
            <w:r>
              <w:t xml:space="preserve">Site Mobilisation Report, Programme Baseline</w:t>
            </w:r>
          </w:p>
        </w:tc>
      </w:tr>
      <w:tr>
        <w:tc>
          <w:tcPr/>
          <w:p>
            <w:pPr>
              <w:pStyle w:val="Compact"/>
              <w:jc w:val="left"/>
            </w:pPr>
            <w:r>
              <w:t xml:space="preserve">Substantial Completion</w:t>
            </w:r>
          </w:p>
        </w:tc>
        <w:tc>
          <w:tcPr/>
          <w:p>
            <w:pPr>
              <w:pStyle w:val="Compact"/>
              <w:jc w:val="left"/>
            </w:pPr>
            <w:r>
              <w:t xml:space="preserve">August 2026</w:t>
            </w:r>
          </w:p>
        </w:tc>
        <w:tc>
          <w:tcPr/>
          <w:p>
            <w:pPr>
              <w:pStyle w:val="Compact"/>
              <w:jc w:val="left"/>
            </w:pPr>
            <w:r>
              <w:t xml:space="preserve">Practical Completion Certificate, Snag List</w:t>
            </w:r>
          </w:p>
        </w:tc>
      </w:tr>
      <w:tr>
        <w:tc>
          <w:tcPr/>
          <w:p>
            <w:pPr>
              <w:pStyle w:val="Compact"/>
              <w:jc w:val="left"/>
            </w:pPr>
            <w:r>
              <w:t xml:space="preserve">Defects Liability &amp; Closeout</w:t>
            </w:r>
          </w:p>
        </w:tc>
        <w:tc>
          <w:tcPr/>
          <w:p>
            <w:pPr>
              <w:pStyle w:val="Compact"/>
              <w:jc w:val="left"/>
            </w:pPr>
            <w:r>
              <w:t xml:space="preserve">October 2026</w:t>
            </w:r>
          </w:p>
        </w:tc>
        <w:tc>
          <w:tcPr/>
          <w:p>
            <w:pPr>
              <w:pStyle w:val="Compact"/>
              <w:jc w:val="left"/>
            </w:pPr>
            <w:r>
              <w:t xml:space="preserve">As-Built Documentation, Final Account</w:t>
            </w:r>
          </w:p>
        </w:tc>
      </w:tr>
    </w:tbl>
    <w:bookmarkEnd w:id="23"/>
    <w:bookmarkStart w:id="24" w:name="X267fdbf69222e738d57c1200e608cb86593a4c4"/>
    <w:p>
      <w:pPr>
        <w:pStyle w:val="Heading2"/>
      </w:pPr>
      <w:r>
        <w:t xml:space="preserve">4. Financial Summary – Quotation Estimate Breakdown</w:t>
      </w:r>
    </w:p>
    <w:p>
      <w:pPr>
        <w:pStyle w:val="FirstParagraph"/>
      </w:pPr>
      <w:r>
        <w:t xml:space="preserve">The following table presents the itemised</w:t>
      </w:r>
      <w:r>
        <w:t xml:space="preserve"> </w:t>
      </w:r>
      <w:r>
        <w:t xml:space="preserve">Quotation Estimate</w:t>
      </w:r>
      <w:r>
        <w:t xml:space="preserve"> </w:t>
      </w:r>
      <w:r>
        <w:t xml:space="preserve">for the</w:t>
      </w:r>
      <w:r>
        <w:t xml:space="preserve"> </w:t>
      </w:r>
      <w:r>
        <w:t xml:space="preserve">Project Manager</w:t>
      </w:r>
      <w:r>
        <w:t xml:space="preserve"> </w:t>
      </w:r>
      <w:r>
        <w:t xml:space="preserve">services. All rates are exclusive of GST (15%) unless otherwise stated.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Rate / Basis</w:t>
            </w:r>
          </w:p>
        </w:tc>
        <w:tc>
          <w:tcPr/>
          <w:p>
            <w:pPr>
              <w:pStyle w:val="Compact"/>
              <w:jc w:val="left"/>
            </w:pPr>
            <w:r>
              <w:t xml:space="preserve">Duration / Qty</w:t>
            </w:r>
          </w:p>
        </w:tc>
        <w:tc>
          <w:tcPr/>
          <w:p>
            <w:pPr>
              <w:pStyle w:val="Compact"/>
              <w:jc w:val="left"/>
            </w:pPr>
            <w:r>
              <w:t xml:space="preserve">Amount (NZD)</w:t>
            </w:r>
          </w:p>
        </w:tc>
      </w:tr>
      <w:tr>
        <w:tc>
          <w:tcPr/>
          <w:p>
            <w:pPr>
              <w:pStyle w:val="Compact"/>
              <w:jc w:val="left"/>
            </w:pPr>
            <w:r>
              <w:t xml:space="preserve">Senior Project Manager – Monthly Professional Fee</w:t>
            </w:r>
          </w:p>
        </w:tc>
        <w:tc>
          <w:tcPr/>
          <w:p>
            <w:pPr>
              <w:pStyle w:val="Compact"/>
              <w:jc w:val="left"/>
            </w:pPr>
            <w:r>
              <w:t xml:space="preserve">$28,500 / month</w:t>
            </w:r>
          </w:p>
        </w:tc>
        <w:tc>
          <w:tcPr/>
          <w:p>
            <w:pPr>
              <w:pStyle w:val="Compact"/>
              <w:jc w:val="left"/>
            </w:pPr>
            <w:r>
              <w:t xml:space="preserve">14 months</w:t>
            </w:r>
          </w:p>
        </w:tc>
        <w:tc>
          <w:tcPr/>
          <w:p>
            <w:pPr>
              <w:pStyle w:val="Compact"/>
              <w:jc w:val="left"/>
            </w:pPr>
            <w:r>
              <w:t xml:space="preserve">$399,000.00</w:t>
            </w:r>
          </w:p>
        </w:tc>
      </w:tr>
      <w:tr>
        <w:tc>
          <w:tcPr/>
          <w:p>
            <w:pPr>
              <w:pStyle w:val="Compact"/>
              <w:jc w:val="left"/>
            </w:pPr>
            <w:r>
              <w:t xml:space="preserve">Project Management Software &amp; Tools (Primavera P6, MS Project, Procore)</w:t>
            </w:r>
          </w:p>
        </w:tc>
        <w:tc>
          <w:tcPr/>
          <w:p>
            <w:pPr>
              <w:pStyle w:val="Compact"/>
              <w:jc w:val="left"/>
            </w:pPr>
            <w:r>
              <w:t xml:space="preserve">$1,200 / month</w:t>
            </w:r>
          </w:p>
        </w:tc>
        <w:tc>
          <w:tcPr/>
          <w:p>
            <w:pPr>
              <w:pStyle w:val="Compact"/>
              <w:jc w:val="left"/>
            </w:pPr>
            <w:r>
              <w:t xml:space="preserve">14 months</w:t>
            </w:r>
          </w:p>
        </w:tc>
        <w:tc>
          <w:tcPr/>
          <w:p>
            <w:pPr>
              <w:pStyle w:val="Compact"/>
              <w:jc w:val="left"/>
            </w:pPr>
            <w:r>
              <w:t xml:space="preserve">$16,800.00</w:t>
            </w:r>
          </w:p>
        </w:tc>
      </w:tr>
      <w:tr>
        <w:tc>
          <w:tcPr/>
          <w:p>
            <w:pPr>
              <w:pStyle w:val="Compact"/>
              <w:jc w:val="left"/>
            </w:pPr>
            <w:r>
              <w:t xml:space="preserve">Site Visits &amp; Travel within Wellington Region</w:t>
            </w:r>
          </w:p>
        </w:tc>
        <w:tc>
          <w:tcPr/>
          <w:p>
            <w:pPr>
              <w:pStyle w:val="Compact"/>
              <w:jc w:val="left"/>
            </w:pPr>
            <w:r>
              <w:t xml:space="preserve">$450 / day (estimated)</w:t>
            </w:r>
          </w:p>
        </w:tc>
        <w:tc>
          <w:tcPr/>
          <w:p>
            <w:pPr>
              <w:pStyle w:val="Compact"/>
              <w:jc w:val="left"/>
            </w:pPr>
            <w:r>
              <w:t xml:space="preserve">56 days</w:t>
            </w:r>
          </w:p>
        </w:tc>
        <w:tc>
          <w:tcPr/>
          <w:p>
            <w:pPr>
              <w:pStyle w:val="Compact"/>
              <w:jc w:val="left"/>
            </w:pPr>
            <w:r>
              <w:t xml:space="preserve">$25,200.00</w:t>
            </w:r>
          </w:p>
        </w:tc>
      </w:tr>
      <w:tr>
        <w:tc>
          <w:tcPr/>
          <w:p>
            <w:pPr>
              <w:pStyle w:val="Compact"/>
              <w:jc w:val="left"/>
            </w:pPr>
            <w:r>
              <w:t xml:space="preserve">Statutory Authority Liaison &amp; Consent Filing Fees</w:t>
            </w:r>
          </w:p>
        </w:tc>
        <w:tc>
          <w:tcPr/>
          <w:p>
            <w:pPr>
              <w:pStyle w:val="Compact"/>
              <w:jc w:val="left"/>
            </w:pPr>
            <w:r>
              <w:t xml:space="preserve">Fixed fee</w:t>
            </w:r>
          </w:p>
        </w:tc>
        <w:tc>
          <w:tcPr/>
          <w:p>
            <w:pPr>
              <w:pStyle w:val="Compact"/>
              <w:jc w:val="left"/>
            </w:pPr>
            <w:r>
              <w:t xml:space="preserve">1 lot</w:t>
            </w:r>
          </w:p>
        </w:tc>
        <w:tc>
          <w:tcPr/>
          <w:p>
            <w:pPr>
              <w:pStyle w:val="Compact"/>
              <w:jc w:val="left"/>
            </w:pPr>
            <w:r>
              <w:t xml:space="preserve">$8,500.00</w:t>
            </w:r>
          </w:p>
        </w:tc>
      </w:tr>
      <w:tr>
        <w:tc>
          <w:tcPr/>
          <w:p>
            <w:pPr>
              <w:pStyle w:val="Compact"/>
              <w:jc w:val="left"/>
            </w:pPr>
            <w:r>
              <w:t xml:space="preserve">Monthly Reporting &amp; Board Presentation Preparation</w:t>
            </w:r>
          </w:p>
        </w:tc>
        <w:tc>
          <w:tcPr/>
          <w:p>
            <w:pPr>
              <w:pStyle w:val="Compact"/>
              <w:jc w:val="left"/>
            </w:pPr>
            <w:r>
              <w:t xml:space="preserve">$2,800 / month</w:t>
            </w:r>
          </w:p>
        </w:tc>
        <w:tc>
          <w:tcPr/>
          <w:p>
            <w:pPr>
              <w:pStyle w:val="Compact"/>
              <w:jc w:val="left"/>
            </w:pPr>
            <w:r>
              <w:t xml:space="preserve">14 months</w:t>
            </w:r>
          </w:p>
        </w:tc>
        <w:tc>
          <w:tcPr/>
          <w:p>
            <w:pPr>
              <w:pStyle w:val="Compact"/>
              <w:jc w:val="left"/>
            </w:pPr>
            <w:r>
              <w:t xml:space="preserve">$39,200.00</w:t>
            </w:r>
          </w:p>
        </w:tc>
      </w:tr>
      <w:tr>
        <w:tc>
          <w:tcPr/>
          <w:p>
            <w:pPr>
              <w:pStyle w:val="Compact"/>
              <w:jc w:val="left"/>
            </w:pPr>
            <w:r>
              <w:t xml:space="preserve">Contingency Allowance (10% of professional fees)</w:t>
            </w:r>
          </w:p>
        </w:tc>
        <w:tc>
          <w:tcPr/>
          <w:p>
            <w:pPr>
              <w:pStyle w:val="Compact"/>
              <w:jc w:val="left"/>
            </w:pPr>
            <w:r>
              <w:t xml:space="preserve">10%</w:t>
            </w:r>
          </w:p>
        </w:tc>
        <w:tc>
          <w:tcPr/>
          <w:p>
            <w:pPr>
              <w:pStyle w:val="Compact"/>
              <w:jc w:val="left"/>
            </w:pPr>
            <w:r>
              <w:t xml:space="preserve">1 lot</w:t>
            </w:r>
          </w:p>
        </w:tc>
        <w:tc>
          <w:tcPr/>
          <w:p>
            <w:pPr>
              <w:pStyle w:val="Compact"/>
              <w:jc w:val="left"/>
            </w:pPr>
            <w:r>
              <w:t xml:space="preserve">$39,900.00</w:t>
            </w:r>
          </w:p>
        </w:tc>
      </w:tr>
      <w:tr>
        <w:tc>
          <w:tcPr>
            <w:gridSpan w:val="3"/>
          </w:tcPr>
          <w:p>
            <w:pPr>
              <w:pStyle w:val="Compact"/>
              <w:jc w:val="left"/>
            </w:pPr>
            <w:r>
              <w:t xml:space="preserve">Subtotal (excl. GST)</w:t>
            </w:r>
          </w:p>
        </w:tc>
        <w:tc>
          <w:tcPr/>
          <w:p>
            <w:pPr>
              <w:pStyle w:val="Compact"/>
              <w:jc w:val="left"/>
            </w:pPr>
            <w:r>
              <w:t xml:space="preserve">$528,600.00</w:t>
            </w:r>
          </w:p>
        </w:tc>
      </w:tr>
      <w:tr>
        <w:tc>
          <w:tcPr>
            <w:gridSpan w:val="3"/>
          </w:tcPr>
          <w:p>
            <w:pPr>
              <w:pStyle w:val="Compact"/>
              <w:jc w:val="left"/>
            </w:pPr>
            <w:r>
              <w:t xml:space="preserve">GST @ 15%</w:t>
            </w:r>
          </w:p>
        </w:tc>
        <w:tc>
          <w:tcPr/>
          <w:p>
            <w:pPr>
              <w:pStyle w:val="Compact"/>
              <w:jc w:val="left"/>
            </w:pPr>
            <w:r>
              <w:t xml:space="preserve">$79,290.00</w:t>
            </w:r>
          </w:p>
        </w:tc>
      </w:tr>
      <w:tr>
        <w:tc>
          <w:tcPr>
            <w:gridSpan w:val="3"/>
          </w:tcPr>
          <w:p>
            <w:pPr>
              <w:pStyle w:val="Compact"/>
              <w:jc w:val="left"/>
            </w:pPr>
            <w:r>
              <w:rPr>
                <w:bCs/>
                <w:b/>
              </w:rPr>
              <w:t xml:space="preserve">TOTAL QUOTATION ESTIMATE (incl. GST)</w:t>
            </w:r>
          </w:p>
        </w:tc>
        <w:tc>
          <w:tcPr/>
          <w:p>
            <w:pPr>
              <w:pStyle w:val="Compact"/>
              <w:jc w:val="left"/>
            </w:pPr>
            <w:r>
              <w:rPr>
                <w:bCs/>
                <w:b/>
              </w:rPr>
              <w:t xml:space="preserve">$607,890.00</w:t>
            </w:r>
          </w:p>
        </w:tc>
      </w:tr>
    </w:tbl>
    <w:bookmarkEnd w:id="24"/>
    <w:bookmarkStart w:id="25" w:name="payment-terms"/>
    <w:p>
      <w:pPr>
        <w:pStyle w:val="Heading2"/>
      </w:pPr>
      <w:r>
        <w:t xml:space="preserve">5. Payment Terms</w:t>
      </w:r>
    </w:p>
    <w:p>
      <w:pPr>
        <w:pStyle w:val="FirstParagraph"/>
      </w:pPr>
      <w:r>
        <w:t xml:space="preserve">Payment for the</w:t>
      </w:r>
      <w:r>
        <w:t xml:space="preserve"> </w:t>
      </w:r>
      <w:r>
        <w:t xml:space="preserve">Project Manager</w:t>
      </w:r>
      <w:r>
        <w:t xml:space="preserve"> </w:t>
      </w:r>
      <w:r>
        <w:t xml:space="preserve">services outlined in this</w:t>
      </w:r>
      <w:r>
        <w:t xml:space="preserve"> </w:t>
      </w:r>
      <w:r>
        <w:t xml:space="preserve">Quotation Estimate</w:t>
      </w:r>
      <w:r>
        <w:t xml:space="preserve"> </w:t>
      </w:r>
      <w:r>
        <w:t xml:space="preserve">shall be made on a monthly basis in arrears. Invoices will be issued on the last working day of each calendar month and are payable within twenty-eight (28) days of the invoice date. A mobilisation fee equivalent to one month's professional fee ($28,500 + GST) is due upon execution of the service agreement. All payments are to be made by electronic funds transfer (EFT) to the bank account nominated by Apex Project Solutions Ltd, Wellington, New Zealand.</w:t>
      </w:r>
    </w:p>
    <w:bookmarkEnd w:id="25"/>
    <w:bookmarkStart w:id="26"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is based on the following assumptions: (a) the project site is located within the City of Wellington boundaries in</w:t>
      </w:r>
      <w:r>
        <w:t xml:space="preserve"> </w:t>
      </w:r>
      <w:r>
        <w:t xml:space="preserve">New Zealand Wellington</w:t>
      </w:r>
      <w:r>
        <w:t xml:space="preserve">; (b) the client will provide a dedicated project office space at the site; (c) the project scope will not exceed the parameters described in Section 2 without a formal variation order; and (d) the</w:t>
      </w:r>
      <w:r>
        <w:t xml:space="preserve"> </w:t>
      </w:r>
      <w:r>
        <w:t xml:space="preserve">Project Manager</w:t>
      </w:r>
      <w:r>
        <w:t xml:space="preserve"> </w:t>
      </w:r>
      <w:r>
        <w:t xml:space="preserve">will not be required to travel outside the Wellington Region without prior written agreement and additional cost approval. Exclusions include construction costs, design fees, legal counsel, and any third-party consultancy not expressly listed herein.</w:t>
      </w:r>
    </w:p>
    <w:bookmarkEnd w:id="26"/>
    <w:bookmarkStart w:id="27" w:name="terms-and-conditions"/>
    <w:p>
      <w:pPr>
        <w:pStyle w:val="Heading2"/>
      </w:pPr>
      <w:r>
        <w:t xml:space="preserve">7. Terms and Conditions</w:t>
      </w:r>
    </w:p>
    <w:p>
      <w:pPr>
        <w:pStyle w:val="FirstParagraph"/>
      </w:pPr>
      <w:r>
        <w:rPr>
          <w:bCs/>
          <w:b/>
        </w:rPr>
        <w:t xml:space="preserve">7.1</w:t>
      </w:r>
      <w:r>
        <w:t xml:space="preserve"> </w:t>
      </w:r>
      <w:r>
        <w:t xml:space="preserve">This</w:t>
      </w:r>
      <w:r>
        <w:t xml:space="preserve"> </w:t>
      </w:r>
      <w:r>
        <w:t xml:space="preserve">Quotation Estimate</w:t>
      </w:r>
      <w:r>
        <w:t xml:space="preserve"> </w:t>
      </w:r>
      <w:r>
        <w:t xml:space="preserve">is valid for thirty (30) days from the date of issue. Thereafter, pricing may be subject to revision based on prevailing market conditions in</w:t>
      </w:r>
      <w:r>
        <w:t xml:space="preserve"> </w:t>
      </w:r>
      <w:r>
        <w:t xml:space="preserve">New Zealand Wellington</w:t>
      </w:r>
      <w:r>
        <w:t xml:space="preserve">.</w:t>
      </w:r>
    </w:p>
    <w:p>
      <w:pPr>
        <w:pStyle w:val="BodyText"/>
      </w:pPr>
      <w:r>
        <w:rPr>
          <w:bCs/>
          <w:b/>
        </w:rPr>
        <w:t xml:space="preserve">7.2</w:t>
      </w:r>
      <w:r>
        <w:t xml:space="preserve"> </w:t>
      </w:r>
      <w:r>
        <w:t xml:space="preserve">The</w:t>
      </w:r>
      <w:r>
        <w:t xml:space="preserve"> </w:t>
      </w:r>
      <w:r>
        <w:t xml:space="preserve">Project Manager</w:t>
      </w:r>
      <w:r>
        <w:t xml:space="preserve"> </w:t>
      </w:r>
      <w:r>
        <w:t xml:space="preserve">shall act in accordance with the Code of Ethics and Professional Conduct of the New Zealand Institute of Professional Engineers (IPENZ) and the New Zealand Society for the Promotion of Project Management (NZSPM).</w:t>
      </w:r>
    </w:p>
    <w:p>
      <w:pPr>
        <w:pStyle w:val="BodyText"/>
      </w:pPr>
      <w:r>
        <w:rPr>
          <w:bCs/>
          <w:b/>
        </w:rPr>
        <w:t xml:space="preserve">7.3</w:t>
      </w:r>
      <w:r>
        <w:t xml:space="preserve"> </w:t>
      </w:r>
      <w:r>
        <w:t xml:space="preserve">Either party may terminate the engagement with thirty (30) days' written notice. In the event of early termination, the client shall be liable for all fees accrued up to the termination date plus a reasonable wind-down cost.</w:t>
      </w:r>
    </w:p>
    <w:p>
      <w:pPr>
        <w:pStyle w:val="BodyText"/>
      </w:pPr>
      <w:r>
        <w:rPr>
          <w:bCs/>
          <w:b/>
        </w:rPr>
        <w:t xml:space="preserve">7.4</w:t>
      </w:r>
      <w:r>
        <w:t xml:space="preserve"> </w:t>
      </w:r>
      <w:r>
        <w:t xml:space="preserve">All disputes arising from this engagement shall be resolved in accordance with the Disputes Standards Act 2022 and, where applicable, referred to the Disputes Tribunal in Wellington, New Zealand.</w:t>
      </w:r>
    </w:p>
    <w:p>
      <w:pPr>
        <w:pStyle w:val="BodyText"/>
      </w:pPr>
      <w:r>
        <w:rPr>
          <w:bCs/>
          <w:b/>
        </w:rPr>
        <w:t xml:space="preserve">7.5</w:t>
      </w:r>
      <w:r>
        <w:t xml:space="preserve"> </w:t>
      </w:r>
      <w:r>
        <w:t xml:space="preserve">This</w:t>
      </w:r>
      <w:r>
        <w:t xml:space="preserve"> </w:t>
      </w:r>
      <w:r>
        <w:t xml:space="preserve">Quotation Estimate</w:t>
      </w:r>
      <w:r>
        <w:t xml:space="preserve"> </w:t>
      </w:r>
      <w:r>
        <w:t xml:space="preserve">does not constitute a binding contract until a formal service agreement has been executed by both parties.</w:t>
      </w:r>
    </w:p>
    <w:bookmarkEnd w:id="27"/>
    <w:bookmarkStart w:id="28" w:name="acceptance-and-authorisation"/>
    <w:p>
      <w:pPr>
        <w:pStyle w:val="Heading2"/>
      </w:pPr>
      <w:r>
        <w:t xml:space="preserve">8.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set out herein for the engagement of the</w:t>
      </w:r>
      <w:r>
        <w:t xml:space="preserve"> </w:t>
      </w:r>
      <w:r>
        <w:t xml:space="preserve">Project Manager</w:t>
      </w:r>
      <w:r>
        <w:t xml:space="preserve"> </w:t>
      </w:r>
      <w:r>
        <w:t xml:space="preserve">services in</w:t>
      </w:r>
      <w:r>
        <w:t xml:space="preserve"> </w:t>
      </w:r>
      <w:r>
        <w:t xml:space="preserve">New Zealand Wellington</w:t>
      </w:r>
      <w:r>
        <w:t xml:space="preserve">.</w:t>
      </w:r>
    </w:p>
    <w:bookmarkEnd w:id="28"/>
    <w:p>
      <w:pPr>
        <w:pStyle w:val="BodyText"/>
      </w:pPr>
      <w:r>
        <w:rPr>
          <w:bCs/>
          <w:b/>
        </w:rPr>
        <w:t xml:space="preserve">For and on behalf of Apex Project Solutions Ltd</w:t>
      </w:r>
    </w:p>
    <w:p>
      <w:pPr>
        <w:pStyle w:val="BodyText"/>
      </w:pPr>
      <w:r>
        <w:t xml:space="preserve">Name: Jonathan T. Māhina</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Apex Project Solutions Ltd | 14 Cuba Street, Te Aro, Wellington 6011, New Zealand | NZBN 9429041234567 | GST No. 942-904-123</w:t>
      </w:r>
    </w:p>
    <w:p>
      <w:pPr>
        <w:pStyle w:val="BodyText"/>
      </w:pPr>
      <w:r>
        <w:t xml:space="preserve">This Quotation Estimate is the property of Apex Project Solutions Ltd and may not be reproduced or distributed without prior written consent.</w:t>
      </w:r>
    </w:p>
    <w:p>
      <w:pPr>
        <w:pStyle w:val="BodyText"/>
      </w:pPr>
      <w:r>
        <w:t xml:space="preserve">Document Reference: QTE-WLG-2025-0472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New Zealand Wellington</dc:title>
  <dc:creator/>
  <dc:language>en</dc:language>
  <cp:keywords/>
  <dcterms:created xsi:type="dcterms:W3CDTF">2026-10-10T04:14:50Z</dcterms:created>
  <dcterms:modified xsi:type="dcterms:W3CDTF">2026-10-10T04:14:50Z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