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Professional Project Manager Services — Philippines Manila</w:t>
      </w:r>
    </w:p>
    <w:p>
      <w:pPr>
        <w:pStyle w:val="BodyText"/>
      </w:pPr>
      <w:r>
        <w:t xml:space="preserve">Document Reference: QTE-PH-MNL-2025-0472</w:t>
      </w:r>
    </w:p>
    <w:bookmarkEnd w:id="20"/>
    <w:p>
      <w:pPr>
        <w:pStyle w:val="BodyText"/>
      </w:pPr>
      <w:r>
        <w:rPr>
          <w:bCs/>
          <w:b/>
        </w:rPr>
        <w:t xml:space="preserve">Date of Issue:</w:t>
      </w:r>
      <w:r>
        <w:t xml:space="preserve"> </w:t>
      </w:r>
      <w:r>
        <w:t xml:space="preserve">15 June 2025</w:t>
      </w:r>
      <w:r>
        <w:t xml:space="preserve"> </w:t>
      </w:r>
      <w:r>
        <w:rPr>
          <w:bCs/>
          <w:b/>
        </w:rPr>
        <w:t xml:space="preserve">Valid Until:</w:t>
      </w:r>
      <w:r>
        <w:t xml:space="preserve"> </w:t>
      </w:r>
      <w:r>
        <w:t xml:space="preserve">15 July 2025</w:t>
      </w:r>
      <w:r>
        <w:t xml:space="preserve"> </w:t>
      </w:r>
      <w:r>
        <w:rPr>
          <w:bCs/>
          <w:b/>
        </w:rPr>
        <w:t xml:space="preserve">Currency:</w:t>
      </w:r>
      <w:r>
        <w:t xml:space="preserve"> </w:t>
      </w:r>
      <w:r>
        <w:t xml:space="preserve">Philippine Peso (PHP)</w:t>
      </w:r>
    </w:p>
    <w:bookmarkStart w:id="21" w:name="prepared-by-service-provider"/>
    <w:p>
      <w:pPr>
        <w:pStyle w:val="Heading3"/>
      </w:pPr>
      <w:r>
        <w:t xml:space="preserve">Prepared By (Service Provider)</w:t>
      </w:r>
    </w:p>
    <w:p>
      <w:pPr>
        <w:pStyle w:val="FirstParagraph"/>
      </w:pPr>
      <w:r>
        <w:rPr>
          <w:bCs/>
          <w:b/>
        </w:rPr>
        <w:t xml:space="preserve">Apex Project Solutions Inc.</w:t>
      </w:r>
      <w:r>
        <w:br/>
      </w:r>
      <w:r>
        <w:t xml:space="preserve">12th Floor, Makati Business Center</w:t>
      </w:r>
      <w:r>
        <w:br/>
      </w:r>
      <w:r>
        <w:t xml:space="preserve">8888 Ayala Avenue, Makati City</w:t>
      </w:r>
      <w:r>
        <w:br/>
      </w:r>
      <w:r>
        <w:t xml:space="preserve">Philippines Manila, 1226</w:t>
      </w:r>
      <w:r>
        <w:br/>
      </w:r>
      <w:r>
        <w:t xml:space="preserve">Tel: +63 (2) 8888-4567</w:t>
      </w:r>
      <w:r>
        <w:br/>
      </w:r>
      <w:r>
        <w:t xml:space="preserve">Email: quotations@apexprojectsolutions.ph</w:t>
      </w:r>
      <w:r>
        <w:br/>
      </w:r>
      <w:r>
        <w:t xml:space="preserve">TIN: 000-123-456-000</w:t>
      </w:r>
    </w:p>
    <w:bookmarkEnd w:id="21"/>
    <w:bookmarkStart w:id="22" w:name="prepared-for-client"/>
    <w:p>
      <w:pPr>
        <w:pStyle w:val="Heading3"/>
      </w:pPr>
      <w:r>
        <w:t xml:space="preserve">Prepared For (Client)</w:t>
      </w:r>
    </w:p>
    <w:p>
      <w:pPr>
        <w:pStyle w:val="FirstParagraph"/>
      </w:pPr>
      <w:r>
        <w:rPr>
          <w:bCs/>
          <w:b/>
        </w:rPr>
        <w:t xml:space="preserve">Client Name:</w:t>
      </w:r>
      <w:r>
        <w:t xml:space="preserve"> </w:t>
      </w:r>
      <w:r>
        <w:t xml:space="preserve">[To be filled by client]</w:t>
      </w:r>
      <w:r>
        <w:br/>
      </w:r>
      <w:r>
        <w:rPr>
          <w:bCs/>
          <w:b/>
        </w:rPr>
        <w:t xml:space="preserve">Company:</w:t>
      </w:r>
      <w:r>
        <w:t xml:space="preserve"> </w:t>
      </w:r>
      <w:r>
        <w:t xml:space="preserve">[Client Company Name]</w:t>
      </w:r>
      <w:r>
        <w:br/>
      </w:r>
      <w:r>
        <w:rPr>
          <w:bCs/>
          <w:b/>
        </w:rPr>
        <w:t xml:space="preserve">Address:</w:t>
      </w:r>
      <w:r>
        <w:t xml:space="preserve"> </w:t>
      </w:r>
      <w:r>
        <w:t xml:space="preserve">[Client Address], Philippines Manila</w:t>
      </w:r>
      <w:r>
        <w:br/>
      </w:r>
      <w:r>
        <w:rPr>
          <w:bCs/>
          <w:b/>
        </w:rPr>
        <w:t xml:space="preserve">Contact Person:</w:t>
      </w:r>
      <w:r>
        <w:t xml:space="preserve"> </w:t>
      </w:r>
      <w:r>
        <w:t xml:space="preserve">[Name &amp; Title]</w:t>
      </w:r>
      <w:r>
        <w:br/>
      </w:r>
      <w:r>
        <w:rPr>
          <w:bCs/>
          <w:b/>
        </w:rPr>
        <w:t xml:space="preserve">Email:</w:t>
      </w:r>
      <w:r>
        <w:t xml:space="preserve"> </w:t>
      </w:r>
      <w:r>
        <w:t xml:space="preserve">[Client Email]</w:t>
      </w:r>
      <w:r>
        <w:br/>
      </w:r>
      <w:r>
        <w:rPr>
          <w:bCs/>
          <w:b/>
        </w:rPr>
        <w:t xml:space="preserve">TIN:</w:t>
      </w:r>
      <w:r>
        <w:t xml:space="preserve"> </w:t>
      </w:r>
      <w:r>
        <w:t xml:space="preserve">[Client TIN]</w:t>
      </w:r>
    </w:p>
    <w:bookmarkEnd w:id="22"/>
    <w:p>
      <w:pPr>
        <w:pStyle w:val="BodyText"/>
      </w:pPr>
      <w:r>
        <w:t xml:space="preserve">1. SCOPE OF SERVICES — PROJECT MANAGER ENGAGEMENT</w:t>
      </w:r>
    </w:p>
    <w:p>
      <w:pPr>
        <w:pStyle w:val="BodyText"/>
      </w:pPr>
      <w:r>
        <w:t xml:space="preserve">This</w:t>
      </w:r>
      <w:r>
        <w:t xml:space="preserve"> </w:t>
      </w:r>
      <w:r>
        <w:t xml:space="preserve">Quotation Estimate</w:t>
      </w:r>
      <w:r>
        <w:t xml:space="preserve"> </w:t>
      </w:r>
      <w:r>
        <w:t xml:space="preserve">is formally issued by Apex Project Solutions Inc. to provide a comprehensive and transparent breakdown of costs associated with the engagement of a dedicated</w:t>
      </w:r>
      <w:r>
        <w:t xml:space="preserve"> </w:t>
      </w:r>
      <w:r>
        <w:t xml:space="preserve">Project Manager</w:t>
      </w:r>
      <w:r>
        <w:t xml:space="preserve"> </w:t>
      </w:r>
      <w:r>
        <w:t xml:space="preserve">for the client's operations based in</w:t>
      </w:r>
      <w:r>
        <w:t xml:space="preserve"> </w:t>
      </w:r>
      <w:r>
        <w:t xml:space="preserve">Philippines Manila</w:t>
      </w:r>
      <w:r>
        <w:t xml:space="preserve">. The Project Manager will be responsible for end-to-end project lifecycle management, including but not limited to project planning, resource allocation, stakeholder communication, risk management, quality assurance, budget oversight, and timely delivery of all project milestones. The engagement is tailored specifically to the regulatory, cultural, and operational environment of Philippines Manila, ensuring full compliance with local labor laws, the Philippine Labor Code, and all applicable municipal ordinances governing professional services in the National Capital Region.</w:t>
      </w:r>
    </w:p>
    <w:p>
      <w:pPr>
        <w:pStyle w:val="BodyText"/>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(PHP)</w:t>
            </w:r>
          </w:p>
        </w:tc>
        <w:tc>
          <w:tcPr/>
          <w:p>
            <w:pPr>
              <w:pStyle w:val="Compact"/>
              <w:jc w:val="left"/>
            </w:pPr>
            <w:r>
              <w:t xml:space="preserve">Amount (PHP)</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Senior Project Manager — Full-time engagement (8 hrs/day, 5 days/week) for project planning, scheduling, and execution oversight in Philippines Manila</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2,220,000.00</w:t>
            </w:r>
          </w:p>
        </w:tc>
        <w:tc>
          <w:tcPr/>
          <w:p>
            <w:pPr>
              <w:pStyle w:val="Compact"/>
              <w:jc w:val="left"/>
            </w:pPr>
            <w:r>
              <w:t xml:space="preserve">Inclusive of SSS, PhilHealth, and Pag-IBIG employer contributions</w:t>
            </w:r>
          </w:p>
        </w:tc>
      </w:tr>
      <w:tr>
        <w:tc>
          <w:tcPr/>
          <w:p>
            <w:pPr>
              <w:pStyle w:val="Compact"/>
              <w:jc w:val="left"/>
            </w:pPr>
            <w:r>
              <w:t xml:space="preserve">2</w:t>
            </w:r>
          </w:p>
        </w:tc>
        <w:tc>
          <w:tcPr/>
          <w:p>
            <w:pPr>
              <w:pStyle w:val="Compact"/>
              <w:jc w:val="left"/>
            </w:pPr>
            <w:r>
              <w:t xml:space="preserve">Project Manager onboarding, orientation to client systems, and initial project assessment in Philippines Manila</w:t>
            </w:r>
          </w:p>
        </w:tc>
        <w:tc>
          <w:tcPr/>
          <w:p>
            <w:pPr>
              <w:pStyle w:val="Compact"/>
              <w:jc w:val="left"/>
            </w:pPr>
            <w:r>
              <w:t xml:space="preserve">2 weeks</w:t>
            </w:r>
          </w:p>
        </w:tc>
        <w:tc>
          <w:tcPr/>
          <w:p>
            <w:pPr>
              <w:pStyle w:val="Compact"/>
              <w:jc w:val="left"/>
            </w:pPr>
            <w:r>
              <w:t xml:space="preserve">45,000 (flat)</w:t>
            </w:r>
          </w:p>
        </w:tc>
        <w:tc>
          <w:tcPr/>
          <w:p>
            <w:pPr>
              <w:pStyle w:val="Compact"/>
              <w:jc w:val="left"/>
            </w:pPr>
            <w:r>
              <w:t xml:space="preserve">45,000.00</w:t>
            </w:r>
          </w:p>
        </w:tc>
        <w:tc>
          <w:tcPr/>
          <w:p>
            <w:pPr>
              <w:pStyle w:val="Compact"/>
              <w:jc w:val="left"/>
            </w:pPr>
            <w:r>
              <w:t xml:space="preserve">One-time setup fee</w:t>
            </w:r>
          </w:p>
        </w:tc>
      </w:tr>
      <w:tr>
        <w:tc>
          <w:tcPr/>
          <w:p>
            <w:pPr>
              <w:pStyle w:val="Compact"/>
              <w:jc w:val="left"/>
            </w:pPr>
            <w:r>
              <w:t xml:space="preserve">3</w:t>
            </w:r>
          </w:p>
        </w:tc>
        <w:tc>
          <w:tcPr/>
          <w:p>
            <w:pPr>
              <w:pStyle w:val="Compact"/>
              <w:jc w:val="left"/>
            </w:pPr>
            <w:r>
              <w:t xml:space="preserve">Project risk management framework development and quarterly risk review sessions</w:t>
            </w:r>
          </w:p>
        </w:tc>
        <w:tc>
          <w:tcPr/>
          <w:p>
            <w:pPr>
              <w:pStyle w:val="Compact"/>
              <w:jc w:val="left"/>
            </w:pPr>
            <w:r>
              <w:t xml:space="preserve">12 months</w:t>
            </w:r>
          </w:p>
        </w:tc>
        <w:tc>
          <w:tcPr/>
          <w:p>
            <w:pPr>
              <w:pStyle w:val="Compact"/>
              <w:jc w:val="left"/>
            </w:pPr>
            <w:r>
              <w:t xml:space="preserve">25,000 / quarter</w:t>
            </w:r>
          </w:p>
        </w:tc>
        <w:tc>
          <w:tcPr/>
          <w:p>
            <w:pPr>
              <w:pStyle w:val="Compact"/>
              <w:jc w:val="left"/>
            </w:pPr>
            <w:r>
              <w:t xml:space="preserve">100,000.00</w:t>
            </w:r>
          </w:p>
        </w:tc>
        <w:tc>
          <w:tcPr/>
          <w:p>
            <w:pPr>
              <w:pStyle w:val="Compact"/>
              <w:jc w:val="left"/>
            </w:pPr>
            <w:r>
              <w:t xml:space="preserve">Includes documentation and reporting</w:t>
            </w:r>
          </w:p>
        </w:tc>
      </w:tr>
      <w:tr>
        <w:tc>
          <w:tcPr/>
          <w:p>
            <w:pPr>
              <w:pStyle w:val="Compact"/>
              <w:jc w:val="left"/>
            </w:pPr>
            <w:r>
              <w:t xml:space="preserve">4</w:t>
            </w:r>
          </w:p>
        </w:tc>
        <w:tc>
          <w:tcPr/>
          <w:p>
            <w:pPr>
              <w:pStyle w:val="Compact"/>
              <w:jc w:val="left"/>
            </w:pPr>
            <w:r>
              <w:t xml:space="preserve">Stakeholder coordination and cross-departmental meeting facilitation (Philippines Manila offices)</w:t>
            </w:r>
          </w:p>
        </w:tc>
        <w:tc>
          <w:tcPr/>
          <w:p>
            <w:pPr>
              <w:pStyle w:val="Compact"/>
              <w:jc w:val="left"/>
            </w:pPr>
            <w:r>
              <w:t xml:space="preserve">12 months</w:t>
            </w:r>
          </w:p>
        </w:tc>
        <w:tc>
          <w:tcPr/>
          <w:p>
            <w:pPr>
              <w:pStyle w:val="Compact"/>
              <w:jc w:val="left"/>
            </w:pPr>
            <w:r>
              <w:t xml:space="preserve">15,000 / month</w:t>
            </w:r>
          </w:p>
        </w:tc>
        <w:tc>
          <w:tcPr/>
          <w:p>
            <w:pPr>
              <w:pStyle w:val="Compact"/>
              <w:jc w:val="left"/>
            </w:pPr>
            <w:r>
              <w:t xml:space="preserve">180,000.00</w:t>
            </w:r>
          </w:p>
        </w:tc>
        <w:tc>
          <w:tcPr/>
          <w:p>
            <w:pPr>
              <w:pStyle w:val="Compact"/>
              <w:jc w:val="left"/>
            </w:pPr>
            <w:r>
              <w:t xml:space="preserve">Up to 20 meetings per month</w:t>
            </w:r>
          </w:p>
        </w:tc>
      </w:tr>
      <w:tr>
        <w:tc>
          <w:tcPr/>
          <w:p>
            <w:pPr>
              <w:pStyle w:val="Compact"/>
              <w:jc w:val="left"/>
            </w:pPr>
            <w:r>
              <w:t xml:space="preserve">5</w:t>
            </w:r>
          </w:p>
        </w:tc>
        <w:tc>
          <w:tcPr/>
          <w:p>
            <w:pPr>
              <w:pStyle w:val="Compact"/>
              <w:jc w:val="left"/>
            </w:pPr>
            <w:r>
              <w:t xml:space="preserve">Project reporting, KPI dashboards, and monthly performance reviews</w:t>
            </w:r>
          </w:p>
        </w:tc>
        <w:tc>
          <w:tcPr/>
          <w:p>
            <w:pPr>
              <w:pStyle w:val="Compact"/>
              <w:jc w:val="left"/>
            </w:pPr>
            <w:r>
              <w:t xml:space="preserve">12 months</w:t>
            </w:r>
          </w:p>
        </w:tc>
        <w:tc>
          <w:tcPr/>
          <w:p>
            <w:pPr>
              <w:pStyle w:val="Compact"/>
              <w:jc w:val="left"/>
            </w:pPr>
            <w:r>
              <w:t xml:space="preserve">10,000 / month</w:t>
            </w:r>
          </w:p>
        </w:tc>
        <w:tc>
          <w:tcPr/>
          <w:p>
            <w:pPr>
              <w:pStyle w:val="Compact"/>
              <w:jc w:val="left"/>
            </w:pPr>
            <w:r>
              <w:t xml:space="preserve">120,000.00</w:t>
            </w:r>
          </w:p>
        </w:tc>
        <w:tc>
          <w:tcPr/>
          <w:p>
            <w:pPr>
              <w:pStyle w:val="Compact"/>
              <w:jc w:val="left"/>
            </w:pPr>
            <w:r>
              <w:t xml:space="preserve">Digital and printed reports</w:t>
            </w:r>
          </w:p>
        </w:tc>
      </w:tr>
      <w:tr>
        <w:tc>
          <w:tcPr/>
          <w:p>
            <w:pPr>
              <w:pStyle w:val="Compact"/>
              <w:jc w:val="left"/>
            </w:pPr>
            <w:r>
              <w:t xml:space="preserve">6</w:t>
            </w:r>
          </w:p>
        </w:tc>
        <w:tc>
          <w:tcPr/>
          <w:p>
            <w:pPr>
              <w:pStyle w:val="Compact"/>
              <w:jc w:val="left"/>
            </w:pPr>
            <w:r>
              <w:t xml:space="preserve">Travel and local transportation within Philippines Manila and NCR for site visits and inspections</w:t>
            </w:r>
          </w:p>
        </w:tc>
        <w:tc>
          <w:tcPr/>
          <w:p>
            <w:pPr>
              <w:pStyle w:val="Compact"/>
              <w:jc w:val="left"/>
            </w:pPr>
            <w:r>
              <w:t xml:space="preserve">12 months</w:t>
            </w:r>
          </w:p>
        </w:tc>
        <w:tc>
          <w:tcPr/>
          <w:p>
            <w:pPr>
              <w:pStyle w:val="Compact"/>
              <w:jc w:val="left"/>
            </w:pPr>
            <w:r>
              <w:t xml:space="preserve">8,000 / month</w:t>
            </w:r>
          </w:p>
        </w:tc>
        <w:tc>
          <w:tcPr/>
          <w:p>
            <w:pPr>
              <w:pStyle w:val="Compact"/>
              <w:jc w:val="left"/>
            </w:pPr>
            <w:r>
              <w:t xml:space="preserve">96,000.00</w:t>
            </w:r>
          </w:p>
        </w:tc>
        <w:tc>
          <w:tcPr/>
          <w:p>
            <w:pPr>
              <w:pStyle w:val="Compact"/>
              <w:jc w:val="left"/>
            </w:pPr>
            <w:r>
              <w:t xml:space="preserve">Subject to actuals, capped monthly</w:t>
            </w:r>
          </w:p>
        </w:tc>
      </w:tr>
      <w:tr>
        <w:tc>
          <w:tcPr/>
          <w:p>
            <w:pPr>
              <w:pStyle w:val="Compact"/>
              <w:jc w:val="left"/>
            </w:pPr>
            <w:r>
              <w:t xml:space="preserve">7</w:t>
            </w:r>
          </w:p>
        </w:tc>
        <w:tc>
          <w:tcPr/>
          <w:p>
            <w:pPr>
              <w:pStyle w:val="Compact"/>
              <w:jc w:val="left"/>
            </w:pPr>
            <w:r>
              <w:t xml:space="preserve">Project management software licensing (MS Project, Jira, or equivalent) and cloud storage</w:t>
            </w:r>
          </w:p>
        </w:tc>
        <w:tc>
          <w:tcPr/>
          <w:p>
            <w:pPr>
              <w:pStyle w:val="Compact"/>
              <w:jc w:val="left"/>
            </w:pPr>
            <w:r>
              <w:t xml:space="preserve">12 months</w:t>
            </w:r>
          </w:p>
        </w:tc>
        <w:tc>
          <w:tcPr/>
          <w:p>
            <w:pPr>
              <w:pStyle w:val="Compact"/>
              <w:jc w:val="left"/>
            </w:pPr>
            <w:r>
              <w:t xml:space="preserve">12,000 / month</w:t>
            </w:r>
          </w:p>
        </w:tc>
        <w:tc>
          <w:tcPr/>
          <w:p>
            <w:pPr>
              <w:pStyle w:val="Compact"/>
              <w:jc w:val="left"/>
            </w:pPr>
            <w:r>
              <w:t xml:space="preserve">144,000.00</w:t>
            </w:r>
          </w:p>
        </w:tc>
        <w:tc>
          <w:tcPr/>
          <w:p>
            <w:pPr>
              <w:pStyle w:val="Compact"/>
              <w:jc w:val="left"/>
            </w:pPr>
            <w:r>
              <w:t xml:space="preserve">Enterprise tier subscription</w:t>
            </w:r>
          </w:p>
        </w:tc>
      </w:tr>
      <w:tr>
        <w:tc>
          <w:tcPr/>
          <w:p>
            <w:pPr>
              <w:pStyle w:val="Compact"/>
              <w:jc w:val="left"/>
            </w:pPr>
            <w:r>
              <w:t xml:space="preserve">8</w:t>
            </w:r>
          </w:p>
        </w:tc>
        <w:tc>
          <w:tcPr/>
          <w:p>
            <w:pPr>
              <w:pStyle w:val="Compact"/>
              <w:jc w:val="left"/>
            </w:pPr>
            <w:r>
              <w:t xml:space="preserve">Contingency and miscellaneous project management support (overtime, emergency deployments)</w:t>
            </w:r>
          </w:p>
        </w:tc>
        <w:tc>
          <w:tcPr/>
          <w:p>
            <w:pPr>
              <w:pStyle w:val="Compact"/>
              <w:jc w:val="left"/>
            </w:pPr>
            <w:r>
              <w:t xml:space="preserve">12 months</w:t>
            </w:r>
          </w:p>
        </w:tc>
        <w:tc>
          <w:tcPr/>
          <w:p>
            <w:pPr>
              <w:pStyle w:val="Compact"/>
              <w:jc w:val="left"/>
            </w:pPr>
            <w:r>
              <w:t xml:space="preserve">5% of subtotal</w:t>
            </w:r>
          </w:p>
        </w:tc>
        <w:tc>
          <w:tcPr/>
          <w:p>
            <w:pPr>
              <w:pStyle w:val="Compact"/>
              <w:jc w:val="left"/>
            </w:pPr>
            <w:r>
              <w:t xml:space="preserve">137,700.00</w:t>
            </w:r>
          </w:p>
        </w:tc>
        <w:tc>
          <w:tcPr/>
          <w:p>
            <w:pPr>
              <w:pStyle w:val="Compact"/>
              <w:jc w:val="left"/>
            </w:pPr>
            <w:r>
              <w:t xml:space="preserve">Applied only upon written client approval</w:t>
            </w:r>
          </w:p>
        </w:tc>
      </w:tr>
      <w:tr>
        <w:tc>
          <w:tcPr>
            <w:gridSpan w:val="4"/>
          </w:tcPr>
          <w:p>
            <w:pPr>
              <w:pStyle w:val="Compact"/>
              <w:jc w:val="right"/>
            </w:pPr>
            <w:r>
              <w:t xml:space="preserve">GRAND TOTAL (PHP)</w:t>
            </w:r>
          </w:p>
        </w:tc>
        <w:tc>
          <w:tcPr>
            <w:gridSpan w:val="2"/>
          </w:tcPr>
          <w:p>
            <w:pPr>
              <w:pStyle w:val="Compact"/>
              <w:jc w:val="left"/>
            </w:pPr>
            <w:r>
              <w:t xml:space="preserve">3,042,700.00</w:t>
            </w:r>
          </w:p>
        </w:tc>
      </w:tr>
    </w:tbl>
    <w:p>
      <w:pPr>
        <w:pStyle w:val="BodyText"/>
      </w:pPr>
      <w:r>
        <w:t xml:space="preserve">3. PAYMENT TERMS</w:t>
      </w:r>
    </w:p>
    <w:p>
      <w:pPr>
        <w:pStyle w:val="BodyText"/>
      </w:pPr>
      <w:r>
        <w:t xml:space="preserve">All amounts stated in this</w:t>
      </w:r>
      <w:r>
        <w:t xml:space="preserve"> </w:t>
      </w:r>
      <w:r>
        <w:t xml:space="preserve">Quotation Estimate</w:t>
      </w:r>
      <w:r>
        <w:t xml:space="preserve"> </w:t>
      </w:r>
      <w:r>
        <w:t xml:space="preserve">are denominated in Philippine Pesos (PHP) and are subject to the prevailing 12% Value Added Tax (VAT) as mandated by the Bureau of Internal Revenue (BIR) of the Philippines. Payment for the Project Manager engagement shall be made on a monthly basis, due within fifteen (15) calendar days from the date of invoice issuance. The initial onboarding fee (Item 2) is payable in full prior to the commencement of services. A 5% late payment penalty shall be applied to any outstanding balance exceeding the stipulated payment window. All payments shall be remitted via bank transfer to the designated account of Apex Project Solutions Inc., Philippines Manila.</w:t>
      </w:r>
    </w:p>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rates and terms are subject to revision based on prevailing market conditions in Philippines Manila.</w:t>
      </w:r>
    </w:p>
    <w:p>
      <w:pPr>
        <w:numPr>
          <w:ilvl w:val="0"/>
          <w:numId w:val="1001"/>
        </w:numPr>
        <w:pStyle w:val="Compact"/>
      </w:pPr>
      <w:r>
        <w:t xml:space="preserve">The Project Manager assigned to this engagement shall be a PMP-certified professional with a minimum of eight (8) years of experience in project management within the Philippines Manila business environment.</w:t>
      </w:r>
    </w:p>
    <w:p>
      <w:pPr>
        <w:numPr>
          <w:ilvl w:val="0"/>
          <w:numId w:val="1001"/>
        </w:numPr>
        <w:pStyle w:val="Compact"/>
      </w:pPr>
      <w:r>
        <w:t xml:space="preserve">Either party may terminate the engagement with a thirty (30) day written notice. In the event of early termination, the client shall be liable for all services rendered up to the termination date plus a 10% administrative fee.</w:t>
      </w:r>
    </w:p>
    <w:p>
      <w:pPr>
        <w:numPr>
          <w:ilvl w:val="0"/>
          <w:numId w:val="1001"/>
        </w:numPr>
        <w:pStyle w:val="Compact"/>
      </w:pPr>
      <w:r>
        <w:t xml:space="preserve">The Project Manager shall adhere to all data privacy requirements under the Philippine Data Privacy Act of 2012 (RA 10173) and shall execute a Non-Disclosure Agreement (NDA) prior to commencing work.</w:t>
      </w:r>
    </w:p>
    <w:p>
      <w:pPr>
        <w:numPr>
          <w:ilvl w:val="0"/>
          <w:numId w:val="1001"/>
        </w:numPr>
        <w:pStyle w:val="Compact"/>
      </w:pPr>
      <w:r>
        <w:t xml:space="preserve">All deliverables, reports, and project documentation produced by the Project Manager during the engagement shall become the sole property of the client upon full payment.</w:t>
      </w:r>
    </w:p>
    <w:p>
      <w:pPr>
        <w:numPr>
          <w:ilvl w:val="0"/>
          <w:numId w:val="1001"/>
        </w:numPr>
        <w:pStyle w:val="Compact"/>
      </w:pPr>
      <w:r>
        <w:t xml:space="preserve">This Quotation Estimate does not constitute a binding contract until countersigned by both parties and executed in accordance with Philippine contract law.</w:t>
      </w:r>
    </w:p>
    <w:p>
      <w:pPr>
        <w:numPr>
          <w:ilvl w:val="0"/>
          <w:numId w:val="1001"/>
        </w:numPr>
        <w:pStyle w:val="Compact"/>
      </w:pPr>
      <w:r>
        <w:t xml:space="preserve">Any disputes arising from this engagement shall be resolved through amicable negotiation, and failing that, through arbitration under the rules of the Philippine Dispute Resolution Center, Inc. (PDRCI) in Philippines Manila.</w:t>
      </w:r>
    </w:p>
    <w:p>
      <w:pPr>
        <w:pStyle w:val="FirstParagraph"/>
      </w:pPr>
      <w:r>
        <w:t xml:space="preserve">5. ACCEPTANCE AND AUTHORIZATION</w:t>
      </w:r>
    </w:p>
    <w:p>
      <w:pPr>
        <w:pStyle w:val="BodyText"/>
      </w:pPr>
      <w:r>
        <w:t xml:space="preserve">By signing below, both parties acknowledge that they have read, understood, and agreed to the terms, conditions, and cost breakdown presented in this</w:t>
      </w:r>
      <w:r>
        <w:t xml:space="preserve"> </w:t>
      </w:r>
      <w:r>
        <w:t xml:space="preserve">Quotation Estimate</w:t>
      </w:r>
      <w:r>
        <w:t xml:space="preserve"> </w:t>
      </w:r>
      <w:r>
        <w:t xml:space="preserve">for the Project Manager services to be rendered in</w:t>
      </w:r>
      <w:r>
        <w:t xml:space="preserve"> </w:t>
      </w:r>
      <w:r>
        <w:t xml:space="preserve">Philippines Manila</w:t>
      </w:r>
      <w:r>
        <w:t xml:space="preserve">. This document, once executed, shall serve as the primary reference for all billing, performance evaluation, and contractual obligations between the parties for the duration of the engagement.</w:t>
      </w:r>
    </w:p>
    <w:p>
      <w:pPr>
        <w:pStyle w:val="BodyText"/>
      </w:pPr>
      <w:r>
        <w:rPr>
          <w:bCs/>
          <w:b/>
        </w:rPr>
        <w:t xml:space="preserve">For Apex Project Solutions Inc.</w:t>
      </w:r>
      <w:r>
        <w:br/>
      </w:r>
      <w:r>
        <w:t xml:space="preserve">Authorized Representative</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the Client</w:t>
      </w:r>
      <w:r>
        <w:br/>
      </w:r>
      <w:r>
        <w:t xml:space="preserve">Authorized Representative</w:t>
      </w:r>
      <w:r>
        <w:br/>
      </w:r>
      <w:r>
        <w:t xml:space="preserve">Name: _________________________</w:t>
      </w:r>
      <w:r>
        <w:br/>
      </w:r>
      <w:r>
        <w:t xml:space="preserve">Title: _________________________</w:t>
      </w:r>
      <w:r>
        <w:br/>
      </w:r>
      <w:r>
        <w:t xml:space="preserve">Date: _________________________</w:t>
      </w:r>
    </w:p>
    <w:p>
      <w:pPr>
        <w:pStyle w:val="BodyText"/>
      </w:pPr>
      <w:r>
        <w:t xml:space="preserve">Apex Project Solutions Inc. — Philippines Manila — This Quotation Estimate is generated electronically and is valid without a physical seal. For inquiries regarding this Project Manager service quotation, please contact our Philippines Manila office at +63 (2) 8888-4567 or quotations@apexprojectsolutions.ph. © 2025 Apex Project Solutions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Philippines Manila</dc:title>
  <dc:creator/>
  <dc:language>en</dc:language>
  <cp:keywords/>
  <dcterms:created xsi:type="dcterms:W3CDTF">2026-10-10T03:28:45Z</dcterms:created>
  <dcterms:modified xsi:type="dcterms:W3CDTF">2026-10-10T03:28:45Z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