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Project Manager Services — Qatar Doha</w:t>
      </w:r>
    </w:p>
    <w:p>
      <w:pPr>
        <w:pStyle w:val="BodyText"/>
      </w:pPr>
      <w:r>
        <w:t xml:space="preserve">Document Ref: QE-QD-2025-0472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Qatari Riyal (QAR)</w:t>
      </w:r>
    </w:p>
    <w:p>
      <w:pPr>
        <w:pStyle w:val="BodyText"/>
      </w:pPr>
      <w:r>
        <w:rPr>
          <w:bCs/>
          <w:b/>
        </w:rPr>
        <w:t xml:space="preserve">Prepared By:</w:t>
      </w:r>
      <w:r>
        <w:t xml:space="preserve"> </w:t>
      </w:r>
      <w:r>
        <w:t xml:space="preserve">Gulf Strategic Consulting LLC</w:t>
      </w:r>
      <w:r>
        <w:br/>
      </w:r>
      <w:r>
        <w:rPr>
          <w:bCs/>
          <w:b/>
        </w:rPr>
        <w:t xml:space="preserve">Location:</w:t>
      </w:r>
      <w:r>
        <w:t xml:space="preserve"> </w:t>
      </w:r>
      <w:r>
        <w:t xml:space="preserve">Doha, Qatar</w:t>
      </w:r>
      <w:r>
        <w:br/>
      </w:r>
      <w:r>
        <w:rPr>
          <w:bCs/>
          <w:b/>
        </w:rPr>
        <w:t xml:space="preserve">Contact:</w:t>
      </w:r>
      <w:r>
        <w:t xml:space="preserve"> </w:t>
      </w:r>
      <w:r>
        <w:t xml:space="preserve">quotations@gulfstrategic.qa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Gulf Strategic Consulting LLC, a registered professional services firm headquartered in Doha, Qatar, to provide a comprehensive and transparent cost breakdown for the engagement of a senior</w:t>
      </w:r>
      <w:r>
        <w:t xml:space="preserve"> </w:t>
      </w:r>
      <w:r>
        <w:t xml:space="preserve">Project Manager</w:t>
      </w:r>
      <w:r>
        <w:t xml:space="preserve"> </w:t>
      </w:r>
      <w:r>
        <w:t xml:space="preserve">to oversee and deliver a large-scale infrastructure development initiative in</w:t>
      </w:r>
      <w:r>
        <w:t xml:space="preserve"> </w:t>
      </w:r>
      <w:r>
        <w:t xml:space="preserve">Qatar Doha</w:t>
      </w:r>
      <w:r>
        <w:t xml:space="preserve">. This document serves as the definitive financial proposal and scope reference for the client's review, internal approval, and subsequent contractual agreement. All figures presented herein are calculated in Qatari Riyal (QAR) and reflect current market rates applicable to the Qatar Doha professional services sector as of the date of issue.</w:t>
      </w:r>
    </w:p>
    <w:bookmarkEnd w:id="21"/>
    <w:bookmarkStart w:id="22" w:name="client-and-project-details"/>
    <w:p>
      <w:pPr>
        <w:pStyle w:val="Heading2"/>
      </w:pPr>
      <w:r>
        <w:t xml:space="preserve">2. Client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Al Rayyan Development Authority</w:t>
            </w:r>
          </w:p>
        </w:tc>
      </w:tr>
      <w:tr>
        <w:tc>
          <w:tcPr/>
          <w:p>
            <w:pPr>
              <w:pStyle w:val="Compact"/>
              <w:jc w:val="left"/>
            </w:pPr>
            <w:r>
              <w:t xml:space="preserve">Project Title</w:t>
            </w:r>
          </w:p>
        </w:tc>
        <w:tc>
          <w:tcPr/>
          <w:p>
            <w:pPr>
              <w:pStyle w:val="Compact"/>
              <w:jc w:val="left"/>
            </w:pPr>
            <w:r>
              <w:t xml:space="preserve">Doha Metro Phase III – Station Integration &amp; Civil Works</w:t>
            </w:r>
          </w:p>
        </w:tc>
      </w:tr>
      <w:tr>
        <w:tc>
          <w:tcPr/>
          <w:p>
            <w:pPr>
              <w:pStyle w:val="Compact"/>
              <w:jc w:val="left"/>
            </w:pPr>
            <w:r>
              <w:t xml:space="preserve">Project Location</w:t>
            </w:r>
          </w:p>
        </w:tc>
        <w:tc>
          <w:tcPr/>
          <w:p>
            <w:pPr>
              <w:pStyle w:val="Compact"/>
              <w:jc w:val="left"/>
            </w:pPr>
            <w:r>
              <w:t xml:space="preserve">Qatar Doha, Al Sadd District</w:t>
            </w:r>
          </w:p>
        </w:tc>
      </w:tr>
      <w:tr>
        <w:tc>
          <w:tcPr/>
          <w:p>
            <w:pPr>
              <w:pStyle w:val="Compact"/>
              <w:jc w:val="left"/>
            </w:pPr>
            <w:r>
              <w:t xml:space="preserve">Engagement Duration</w:t>
            </w:r>
          </w:p>
        </w:tc>
        <w:tc>
          <w:tcPr/>
          <w:p>
            <w:pPr>
              <w:pStyle w:val="Compact"/>
              <w:jc w:val="left"/>
            </w:pPr>
            <w:r>
              <w:t xml:space="preserve">24 months (with optional 6-month extension)</w:t>
            </w:r>
          </w:p>
        </w:tc>
      </w:tr>
      <w:tr>
        <w:tc>
          <w:tcPr/>
          <w:p>
            <w:pPr>
              <w:pStyle w:val="Compact"/>
              <w:jc w:val="left"/>
            </w:pPr>
            <w:r>
              <w:t xml:space="preserve">Role Required</w:t>
            </w:r>
          </w:p>
        </w:tc>
        <w:tc>
          <w:tcPr/>
          <w:p>
            <w:pPr>
              <w:pStyle w:val="Compact"/>
              <w:jc w:val="left"/>
            </w:pPr>
            <w:r>
              <w:t xml:space="preserve">Senior Project Manager (PMP / PRINCE2 Certified)</w:t>
            </w:r>
          </w:p>
        </w:tc>
      </w:tr>
    </w:tbl>
    <w:bookmarkEnd w:id="22"/>
    <w:bookmarkStart w:id="23" w:name="X98d2de802d335042e5d503f69772bbc81a70d17"/>
    <w:p>
      <w:pPr>
        <w:pStyle w:val="Heading2"/>
      </w:pPr>
      <w:r>
        <w:t xml:space="preserve">3.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responsible for the full lifecycle management of the Doha Metro Phase III project, operating within the regulatory and operational framework of Qatar Doha. The scope encompasses the following key deliverables and responsibilities:</w:t>
      </w:r>
    </w:p>
    <w:p>
      <w:pPr>
        <w:numPr>
          <w:ilvl w:val="0"/>
          <w:numId w:val="1001"/>
        </w:numPr>
        <w:pStyle w:val="Compact"/>
      </w:pPr>
      <w:r>
        <w:rPr>
          <w:bCs/>
          <w:b/>
        </w:rPr>
        <w:t xml:space="preserve">Project Planning &amp; Scheduling:</w:t>
      </w:r>
      <w:r>
        <w:t xml:space="preserve"> </w:t>
      </w:r>
      <w:r>
        <w:t xml:space="preserve">Development of master project schedules, work breakdown structures (WBS), critical path analyses, and resource allocation plans aligned with Qatar Doha municipal and transportation authority requirements.</w:t>
      </w:r>
    </w:p>
    <w:p>
      <w:pPr>
        <w:numPr>
          <w:ilvl w:val="0"/>
          <w:numId w:val="1001"/>
        </w:numPr>
        <w:pStyle w:val="Compact"/>
      </w:pPr>
      <w:r>
        <w:rPr>
          <w:bCs/>
          <w:b/>
        </w:rPr>
        <w:t xml:space="preserve">Stakeholder Management:</w:t>
      </w:r>
      <w:r>
        <w:t xml:space="preserve"> </w:t>
      </w:r>
      <w:r>
        <w:t xml:space="preserve">Liaison with Qatar Doha government entities, including the Ministry of Transport, Ashghal, and the Doha Metro Operations Authority, ensuring full compliance with local regulations and reporting standards.</w:t>
      </w:r>
    </w:p>
    <w:p>
      <w:pPr>
        <w:numPr>
          <w:ilvl w:val="0"/>
          <w:numId w:val="1001"/>
        </w:numPr>
        <w:pStyle w:val="Compact"/>
      </w:pPr>
      <w:r>
        <w:rPr>
          <w:bCs/>
          <w:b/>
        </w:rPr>
        <w:t xml:space="preserve">Budget &amp; Cost Control:</w:t>
      </w:r>
      <w:r>
        <w:t xml:space="preserve"> </w:t>
      </w:r>
      <w:r>
        <w:t xml:space="preserve">End-to-end financial oversight, including cost forecasting, variance analysis, procurement management, and vendor contract administration specific to the Qatar Doha construction market.</w:t>
      </w:r>
    </w:p>
    <w:p>
      <w:pPr>
        <w:numPr>
          <w:ilvl w:val="0"/>
          <w:numId w:val="1001"/>
        </w:numPr>
        <w:pStyle w:val="Compact"/>
      </w:pPr>
      <w:r>
        <w:rPr>
          <w:bCs/>
          <w:b/>
        </w:rPr>
        <w:t xml:space="preserve">Quality &amp; Risk Management:</w:t>
      </w:r>
      <w:r>
        <w:t xml:space="preserve"> </w:t>
      </w:r>
      <w:r>
        <w:t xml:space="preserve">Implementation of quality assurance protocols, risk registers, mitigation strategies, and safety compliance in accordance with Qatar Doha occupational health and safety regulations.</w:t>
      </w:r>
    </w:p>
    <w:p>
      <w:pPr>
        <w:numPr>
          <w:ilvl w:val="0"/>
          <w:numId w:val="1001"/>
        </w:numPr>
        <w:pStyle w:val="Compact"/>
      </w:pPr>
      <w:r>
        <w:rPr>
          <w:bCs/>
          <w:b/>
        </w:rPr>
        <w:t xml:space="preserve">Team Leadership &amp; Coordination:</w:t>
      </w:r>
      <w:r>
        <w:t xml:space="preserve"> </w:t>
      </w:r>
      <w:r>
        <w:t xml:space="preserve">Direct supervision of multidisciplinary engineering teams, subcontractors, and consultants operating across multiple Qatar Doha project sites.</w:t>
      </w:r>
    </w:p>
    <w:p>
      <w:pPr>
        <w:numPr>
          <w:ilvl w:val="0"/>
          <w:numId w:val="1001"/>
        </w:numPr>
        <w:pStyle w:val="Compact"/>
      </w:pPr>
      <w:r>
        <w:rPr>
          <w:bCs/>
          <w:b/>
        </w:rPr>
        <w:t xml:space="preserve">Reporting &amp; Governance:</w:t>
      </w:r>
      <w:r>
        <w:t xml:space="preserve"> </w:t>
      </w:r>
      <w:r>
        <w:t xml:space="preserve">Monthly progress reporting, steering committee presentations, and formal handover documentation upon project completion.</w:t>
      </w:r>
    </w:p>
    <w:bookmarkEnd w:id="23"/>
    <w:bookmarkStart w:id="24"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(QAR)</w:t>
            </w:r>
          </w:p>
        </w:tc>
        <w:tc>
          <w:tcPr/>
          <w:p>
            <w:pPr>
              <w:pStyle w:val="Compact"/>
              <w:jc w:val="left"/>
            </w:pPr>
            <w:r>
              <w:t xml:space="preserve">Quantity</w:t>
            </w:r>
          </w:p>
        </w:tc>
        <w:tc>
          <w:tcPr/>
          <w:p>
            <w:pPr>
              <w:pStyle w:val="Compact"/>
              <w:jc w:val="left"/>
            </w:pPr>
            <w:r>
              <w:t xml:space="preserve">Amount (QAR)</w:t>
            </w:r>
          </w:p>
        </w:tc>
      </w:tr>
      <w:tr>
        <w:tc>
          <w:tcPr/>
          <w:p>
            <w:pPr>
              <w:pStyle w:val="Compact"/>
              <w:jc w:val="left"/>
            </w:pPr>
            <w:r>
              <w:t xml:space="preserve">Senior Project Manager – Monthly Professional Fee</w:t>
            </w:r>
          </w:p>
        </w:tc>
        <w:tc>
          <w:tcPr/>
          <w:p>
            <w:pPr>
              <w:pStyle w:val="Compact"/>
              <w:jc w:val="left"/>
            </w:pPr>
            <w:r>
              <w:t xml:space="preserve">Month</w:t>
            </w:r>
          </w:p>
        </w:tc>
        <w:tc>
          <w:tcPr/>
          <w:p>
            <w:pPr>
              <w:pStyle w:val="Compact"/>
              <w:jc w:val="left"/>
            </w:pPr>
            <w:r>
              <w:t xml:space="preserve">48,500</w:t>
            </w:r>
          </w:p>
        </w:tc>
        <w:tc>
          <w:tcPr/>
          <w:p>
            <w:pPr>
              <w:pStyle w:val="Compact"/>
              <w:jc w:val="left"/>
            </w:pPr>
            <w:r>
              <w:t xml:space="preserve">24</w:t>
            </w:r>
          </w:p>
        </w:tc>
        <w:tc>
          <w:tcPr/>
          <w:p>
            <w:pPr>
              <w:pStyle w:val="Compact"/>
              <w:jc w:val="left"/>
            </w:pPr>
            <w:r>
              <w:t xml:space="preserve">1,164,000</w:t>
            </w:r>
          </w:p>
        </w:tc>
      </w:tr>
      <w:tr>
        <w:tc>
          <w:tcPr/>
          <w:p>
            <w:pPr>
              <w:pStyle w:val="Compact"/>
              <w:jc w:val="left"/>
            </w:pPr>
            <w:r>
              <w:t xml:space="preserve">Project Manager – Accommodation &amp; Housing Allowance (Qatar Doha)</w:t>
            </w:r>
          </w:p>
        </w:tc>
        <w:tc>
          <w:tcPr/>
          <w:p>
            <w:pPr>
              <w:pStyle w:val="Compact"/>
              <w:jc w:val="left"/>
            </w:pPr>
            <w:r>
              <w:t xml:space="preserve">Month</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288,000</w:t>
            </w:r>
          </w:p>
        </w:tc>
      </w:tr>
      <w:tr>
        <w:tc>
          <w:tcPr/>
          <w:p>
            <w:pPr>
              <w:pStyle w:val="Compact"/>
              <w:jc w:val="left"/>
            </w:pPr>
            <w:r>
              <w:t xml:space="preserve">Project Manager – Transportation &amp; Local Travel (Qatar Doha)</w:t>
            </w:r>
          </w:p>
        </w:tc>
        <w:tc>
          <w:tcPr/>
          <w:p>
            <w:pPr>
              <w:pStyle w:val="Compact"/>
              <w:jc w:val="left"/>
            </w:pPr>
            <w:r>
              <w:t xml:space="preserve">Month</w:t>
            </w:r>
          </w:p>
        </w:tc>
        <w:tc>
          <w:tcPr/>
          <w:p>
            <w:pPr>
              <w:pStyle w:val="Compact"/>
              <w:jc w:val="left"/>
            </w:pPr>
            <w:r>
              <w:t xml:space="preserve">3,500</w:t>
            </w:r>
          </w:p>
        </w:tc>
        <w:tc>
          <w:tcPr/>
          <w:p>
            <w:pPr>
              <w:pStyle w:val="Compact"/>
              <w:jc w:val="left"/>
            </w:pPr>
            <w:r>
              <w:t xml:space="preserve">24</w:t>
            </w:r>
          </w:p>
        </w:tc>
        <w:tc>
          <w:tcPr/>
          <w:p>
            <w:pPr>
              <w:pStyle w:val="Compact"/>
              <w:jc w:val="left"/>
            </w:pPr>
            <w:r>
              <w:t xml:space="preserve">84,000</w:t>
            </w:r>
          </w:p>
        </w:tc>
      </w:tr>
      <w:tr>
        <w:tc>
          <w:tcPr/>
          <w:p>
            <w:pPr>
              <w:pStyle w:val="Compact"/>
              <w:jc w:val="left"/>
            </w:pPr>
            <w:r>
              <w:t xml:space="preserve">Project Manager – Annual Airfare (Home Country to Qatar Doha)</w:t>
            </w:r>
          </w:p>
        </w:tc>
        <w:tc>
          <w:tcPr/>
          <w:p>
            <w:pPr>
              <w:pStyle w:val="Compact"/>
              <w:jc w:val="left"/>
            </w:pPr>
            <w:r>
              <w:t xml:space="preserve">Year</w:t>
            </w:r>
          </w:p>
        </w:tc>
        <w:tc>
          <w:tcPr/>
          <w:p>
            <w:pPr>
              <w:pStyle w:val="Compact"/>
              <w:jc w:val="left"/>
            </w:pPr>
            <w:r>
              <w:t xml:space="preserve">18,000</w:t>
            </w:r>
          </w:p>
        </w:tc>
        <w:tc>
          <w:tcPr/>
          <w:p>
            <w:pPr>
              <w:pStyle w:val="Compact"/>
              <w:jc w:val="left"/>
            </w:pPr>
            <w:r>
              <w:t xml:space="preserve">2</w:t>
            </w:r>
          </w:p>
        </w:tc>
        <w:tc>
          <w:tcPr/>
          <w:p>
            <w:pPr>
              <w:pStyle w:val="Compact"/>
              <w:jc w:val="left"/>
            </w:pPr>
            <w:r>
              <w:t xml:space="preserve">36,000</w:t>
            </w:r>
          </w:p>
        </w:tc>
      </w:tr>
      <w:tr>
        <w:tc>
          <w:tcPr/>
          <w:p>
            <w:pPr>
              <w:pStyle w:val="Compact"/>
              <w:jc w:val="left"/>
            </w:pPr>
            <w:r>
              <w:t xml:space="preserve">Project Manager – Medical Insurance &amp; Visa Sponsorship</w:t>
            </w:r>
          </w:p>
        </w:tc>
        <w:tc>
          <w:tcPr/>
          <w:p>
            <w:pPr>
              <w:pStyle w:val="Compact"/>
              <w:jc w:val="left"/>
            </w:pPr>
            <w:r>
              <w:t xml:space="preserve">Year</w:t>
            </w:r>
          </w:p>
        </w:tc>
        <w:tc>
          <w:tcPr/>
          <w:p>
            <w:pPr>
              <w:pStyle w:val="Compact"/>
              <w:jc w:val="left"/>
            </w:pPr>
            <w:r>
              <w:t xml:space="preserve">9,500</w:t>
            </w:r>
          </w:p>
        </w:tc>
        <w:tc>
          <w:tcPr/>
          <w:p>
            <w:pPr>
              <w:pStyle w:val="Compact"/>
              <w:jc w:val="left"/>
            </w:pPr>
            <w:r>
              <w:t xml:space="preserve">2</w:t>
            </w:r>
          </w:p>
        </w:tc>
        <w:tc>
          <w:tcPr/>
          <w:p>
            <w:pPr>
              <w:pStyle w:val="Compact"/>
              <w:jc w:val="left"/>
            </w:pPr>
            <w:r>
              <w:t xml:space="preserve">19,000</w:t>
            </w:r>
          </w:p>
        </w:tc>
      </w:tr>
      <w:tr>
        <w:tc>
          <w:tcPr/>
          <w:p>
            <w:pPr>
              <w:pStyle w:val="Compact"/>
              <w:jc w:val="left"/>
            </w:pPr>
            <w:r>
              <w:t xml:space="preserve">Project Manager – Professional Development &amp; Certification Renewal</w:t>
            </w:r>
          </w:p>
        </w:tc>
        <w:tc>
          <w:tcPr/>
          <w:p>
            <w:pPr>
              <w:pStyle w:val="Compact"/>
              <w:jc w:val="left"/>
            </w:pPr>
            <w:r>
              <w:t xml:space="preserve">Year</w:t>
            </w:r>
          </w:p>
        </w:tc>
        <w:tc>
          <w:tcPr/>
          <w:p>
            <w:pPr>
              <w:pStyle w:val="Compact"/>
              <w:jc w:val="left"/>
            </w:pPr>
            <w:r>
              <w:t xml:space="preserve">5,000</w:t>
            </w:r>
          </w:p>
        </w:tc>
        <w:tc>
          <w:tcPr/>
          <w:p>
            <w:pPr>
              <w:pStyle w:val="Compact"/>
              <w:jc w:val="left"/>
            </w:pPr>
            <w:r>
              <w:t xml:space="preserve">2</w:t>
            </w:r>
          </w:p>
        </w:tc>
        <w:tc>
          <w:tcPr/>
          <w:p>
            <w:pPr>
              <w:pStyle w:val="Compact"/>
              <w:jc w:val="left"/>
            </w:pPr>
            <w:r>
              <w:t xml:space="preserve">10,000</w:t>
            </w:r>
          </w:p>
        </w:tc>
      </w:tr>
      <w:tr>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81,050</w:t>
            </w:r>
          </w:p>
        </w:tc>
      </w:tr>
      <w:tr>
        <w:tc>
          <w:tcPr>
            <w:gridSpan w:val="4"/>
          </w:tcPr>
          <w:p>
            <w:pPr>
              <w:pStyle w:val="Compact"/>
              <w:jc w:val="left"/>
            </w:pPr>
            <w:r>
              <w:t xml:space="preserve">TOTAL QUOTATION ESTIMATE (QAR)</w:t>
            </w:r>
          </w:p>
        </w:tc>
        <w:tc>
          <w:tcPr/>
          <w:p>
            <w:pPr>
              <w:pStyle w:val="Compact"/>
              <w:jc w:val="left"/>
            </w:pPr>
            <w:r>
              <w:t xml:space="preserve">1,682,050</w:t>
            </w:r>
          </w:p>
        </w:tc>
      </w:tr>
    </w:tbl>
    <w:p>
      <w:pPr>
        <w:pStyle w:val="BodyText"/>
      </w:pPr>
      <w:r>
        <w:t xml:space="preserve">* All amounts are exclusive of Qatar Value Added Tax (VAT) at 5%, which shall be applied at the point of invoicing in accordance with Qatar Doha tax regulations. The total inclusive of VAT amounts to QAR 1,766,152.50.</w:t>
      </w:r>
    </w:p>
    <w:bookmarkEnd w:id="24"/>
    <w:bookmarkStart w:id="25" w:name="payment-terms-and-schedule"/>
    <w:p>
      <w:pPr>
        <w:pStyle w:val="Heading2"/>
      </w:pPr>
      <w:r>
        <w:t xml:space="preserve">5. Payment Terms and Schedule</w:t>
      </w:r>
    </w:p>
    <w:p>
      <w:pPr>
        <w:pStyle w:val="FirstParagraph"/>
      </w:pPr>
      <w:r>
        <w:t xml:space="preserve">Payment for the</w:t>
      </w:r>
      <w:r>
        <w:t xml:space="preserve"> </w:t>
      </w:r>
      <w:r>
        <w:t xml:space="preserve">Project Manager</w:t>
      </w:r>
      <w:r>
        <w:t xml:space="preserve"> </w:t>
      </w:r>
      <w:r>
        <w:t xml:space="preserve">services outlined in this</w:t>
      </w:r>
      <w:r>
        <w:t xml:space="preserve"> </w:t>
      </w:r>
      <w:r>
        <w:t xml:space="preserve">Quotation Estimate</w:t>
      </w:r>
      <w:r>
        <w:t xml:space="preserve"> </w:t>
      </w:r>
      <w:r>
        <w:t xml:space="preserve">shall be made on a monthly basis, invoiced in arrears by the 5th business day of each month. Payment terms are Net 30 days from the date of invoice receipt. A mobilization advance of 15% of the total contract value may be requested upon execution of the definitive service agreement. All payments shall be processed in Qatari Riyal via bank transfer to the account designated by Gulf Strategic Consulting LLC in Qatar Doha.</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rates may be subject to revision based on market conditions in Qatar Doha.</w:t>
      </w:r>
    </w:p>
    <w:p>
      <w:pPr>
        <w:numPr>
          <w:ilvl w:val="0"/>
          <w:numId w:val="1002"/>
        </w:numPr>
        <w:pStyle w:val="Compact"/>
      </w:pPr>
      <w:r>
        <w:t xml:space="preserve">The</w:t>
      </w:r>
      <w:r>
        <w:t xml:space="preserve"> </w:t>
      </w:r>
      <w:r>
        <w:t xml:space="preserve">Project Manager</w:t>
      </w:r>
      <w:r>
        <w:t xml:space="preserve"> </w:t>
      </w:r>
      <w:r>
        <w:t xml:space="preserve">shall be subject to Qatar Doha labor law, including but not limited to the Qatar Labour Law (Law No. 14 of 2004) and its amendments.</w:t>
      </w:r>
    </w:p>
    <w:p>
      <w:pPr>
        <w:numPr>
          <w:ilvl w:val="0"/>
          <w:numId w:val="1002"/>
        </w:numPr>
        <w:pStyle w:val="Compact"/>
      </w:pPr>
      <w:r>
        <w:t xml:space="preserve">Either party may terminate the engagement with thirty (30) days' written notice. In the event of early termination, a pro-rata settlement of all incurred costs shall be applied.</w:t>
      </w:r>
    </w:p>
    <w:p>
      <w:pPr>
        <w:numPr>
          <w:ilvl w:val="0"/>
          <w:numId w:val="1002"/>
        </w:numPr>
        <w:pStyle w:val="Compact"/>
      </w:pPr>
      <w:r>
        <w:t xml:space="preserve">All intellectual property, project documentation, and reports generated by the</w:t>
      </w:r>
      <w:r>
        <w:t xml:space="preserve"> </w:t>
      </w:r>
      <w:r>
        <w:t xml:space="preserve">Project Manager</w:t>
      </w:r>
      <w:r>
        <w:t xml:space="preserve"> </w:t>
      </w:r>
      <w:r>
        <w:t xml:space="preserve">during the engagement shall remain the sole property of the client.</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Doha, Qatar, in accordance with the rules of the Qatar International Arbitration Centre (QIAC).</w:t>
      </w:r>
    </w:p>
    <w:p>
      <w:pPr>
        <w:numPr>
          <w:ilvl w:val="0"/>
          <w:numId w:val="1002"/>
        </w:numPr>
        <w:pStyle w:val="Compact"/>
      </w:pPr>
      <w:r>
        <w:t xml:space="preserve">The</w:t>
      </w:r>
      <w:r>
        <w:t xml:space="preserve"> </w:t>
      </w:r>
      <w:r>
        <w:t xml:space="preserve">Project Manager</w:t>
      </w:r>
      <w:r>
        <w:t xml:space="preserve"> </w:t>
      </w:r>
      <w:r>
        <w:t xml:space="preserve">shall maintain full confidentiality regarding all project data, client information, and proprietary materials encountered during the engagement in Qatar Doha.</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scope, and financial figures presented for the</w:t>
      </w:r>
      <w:r>
        <w:t xml:space="preserve"> </w:t>
      </w:r>
      <w:r>
        <w:t xml:space="preserve">Project Manager</w:t>
      </w:r>
      <w:r>
        <w:t xml:space="preserve"> </w:t>
      </w:r>
      <w:r>
        <w:t xml:space="preserve">engagement in</w:t>
      </w:r>
      <w:r>
        <w:t xml:space="preserve"> </w:t>
      </w:r>
      <w:r>
        <w:t xml:space="preserve">Qatar Doha</w:t>
      </w:r>
      <w:r>
        <w:t xml:space="preserve">. This acceptance constitutes a binding commitment to proceed with the formal service agreement within fourteen (14) business days.</w:t>
      </w:r>
    </w:p>
    <w:p>
      <w:pPr>
        <w:pStyle w:val="BodyText"/>
      </w:pPr>
      <w:r>
        <w:rPr>
          <w:bCs/>
          <w:b/>
        </w:rPr>
        <w:t xml:space="preserve">For Gulf Strategic Consulting LLC</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Al Rayyan Development Authority</w:t>
      </w:r>
      <w:r>
        <w:br/>
      </w:r>
      <w:r>
        <w:t xml:space="preserve">Authorized Signatory</w:t>
      </w:r>
      <w:r>
        <w:br/>
      </w:r>
      <w:r>
        <w:t xml:space="preserve">Name: _________________________</w:t>
      </w:r>
      <w:r>
        <w:br/>
      </w:r>
      <w:r>
        <w:t xml:space="preserve">Date: _________________________</w:t>
      </w:r>
    </w:p>
    <w:p>
      <w:pPr>
        <w:pStyle w:val="BodyText"/>
      </w:pPr>
      <w:r>
        <w:t xml:space="preserve">This Quotation Estimate document was prepared exclusively for the named client and is not transferable. All references to Qatar Doha pertain to the State of Qatar, with Doha as the primary operational base. Gulf Strategic Consulting LLC – CR: 123456 – Doha, Qatar.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Qatar Doha</dc:title>
  <dc:creator/>
  <dc:language>en</dc:language>
  <cp:keywords/>
  <dcterms:created xsi:type="dcterms:W3CDTF">2026-10-10T00:30:47Z</dcterms:created>
  <dcterms:modified xsi:type="dcterms:W3CDTF">2026-10-10T00:30:47Z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